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9957C" w14:textId="77777777" w:rsidR="009D7C7C" w:rsidRDefault="009D7C7C"/>
    <w:p w14:paraId="59C8C143" w14:textId="77777777" w:rsidR="009D7C7C" w:rsidRDefault="009D7C7C"/>
    <w:tbl>
      <w:tblPr>
        <w:tblW w:w="0" w:type="auto"/>
        <w:tblLook w:val="01E0" w:firstRow="1" w:lastRow="1" w:firstColumn="1" w:lastColumn="1" w:noHBand="0" w:noVBand="0"/>
      </w:tblPr>
      <w:tblGrid>
        <w:gridCol w:w="9135"/>
      </w:tblGrid>
      <w:tr w:rsidR="00305486" w:rsidRPr="00BC1AB0" w14:paraId="7177B116" w14:textId="77777777" w:rsidTr="00F14C6A">
        <w:trPr>
          <w:trHeight w:val="909"/>
        </w:trPr>
        <w:tc>
          <w:tcPr>
            <w:tcW w:w="9135" w:type="dxa"/>
          </w:tcPr>
          <w:p w14:paraId="05AB1411" w14:textId="6AED0D6A" w:rsidR="009D7C7C" w:rsidRPr="00D82C0A" w:rsidRDefault="00F14C6A" w:rsidP="00CB75AF">
            <w:pPr>
              <w:pStyle w:val="Adressering"/>
              <w:rPr>
                <w:b/>
                <w:sz w:val="26"/>
                <w:szCs w:val="26"/>
                <w:lang w:val="en-US"/>
              </w:rPr>
            </w:pPr>
            <w:proofErr w:type="spellStart"/>
            <w:r>
              <w:rPr>
                <w:b/>
                <w:sz w:val="26"/>
                <w:szCs w:val="26"/>
                <w:lang w:val="en-US"/>
              </w:rPr>
              <w:t>Verslag</w:t>
            </w:r>
            <w:proofErr w:type="spellEnd"/>
          </w:p>
          <w:p w14:paraId="217DC83E" w14:textId="1DD061B2" w:rsidR="00D82C0A" w:rsidRPr="00D82C0A" w:rsidRDefault="00F14C6A" w:rsidP="00CB75AF">
            <w:pPr>
              <w:pStyle w:val="Adressering"/>
              <w:rPr>
                <w:b/>
                <w:sz w:val="18"/>
                <w:szCs w:val="18"/>
                <w:lang w:val="en-US"/>
              </w:rPr>
            </w:pPr>
            <w:r>
              <w:rPr>
                <w:b/>
                <w:sz w:val="18"/>
                <w:szCs w:val="18"/>
                <w:lang w:val="en-US"/>
              </w:rPr>
              <w:t xml:space="preserve">Treasury Committee </w:t>
            </w:r>
            <w:proofErr w:type="spellStart"/>
            <w:r>
              <w:rPr>
                <w:b/>
                <w:sz w:val="18"/>
                <w:szCs w:val="18"/>
                <w:lang w:val="en-US"/>
              </w:rPr>
              <w:t>d.d.</w:t>
            </w:r>
            <w:proofErr w:type="spellEnd"/>
            <w:r>
              <w:rPr>
                <w:b/>
                <w:sz w:val="18"/>
                <w:szCs w:val="18"/>
                <w:lang w:val="en-US"/>
              </w:rPr>
              <w:t xml:space="preserve"> 10 </w:t>
            </w:r>
            <w:proofErr w:type="spellStart"/>
            <w:r>
              <w:rPr>
                <w:b/>
                <w:sz w:val="18"/>
                <w:szCs w:val="18"/>
                <w:lang w:val="en-US"/>
              </w:rPr>
              <w:t>juli</w:t>
            </w:r>
            <w:proofErr w:type="spellEnd"/>
            <w:r>
              <w:rPr>
                <w:b/>
                <w:sz w:val="18"/>
                <w:szCs w:val="18"/>
                <w:lang w:val="en-US"/>
              </w:rPr>
              <w:t xml:space="preserve"> 2026</w:t>
            </w:r>
          </w:p>
        </w:tc>
      </w:tr>
    </w:tbl>
    <w:p w14:paraId="17D18C89" w14:textId="0CD6D1A6" w:rsidR="009D7C7C" w:rsidRPr="00F14C6A" w:rsidRDefault="00F14C6A" w:rsidP="00C15226">
      <w:pPr>
        <w:pStyle w:val="Koptekst"/>
        <w:rPr>
          <w:b/>
          <w:bCs/>
          <w:sz w:val="20"/>
          <w:szCs w:val="36"/>
          <w:lang w:val="en-US"/>
        </w:rPr>
      </w:pPr>
      <w:proofErr w:type="spellStart"/>
      <w:r w:rsidRPr="00F14C6A">
        <w:rPr>
          <w:b/>
          <w:bCs/>
          <w:sz w:val="20"/>
          <w:szCs w:val="36"/>
          <w:lang w:val="en-US"/>
        </w:rPr>
        <w:t>Aanwezig</w:t>
      </w:r>
      <w:proofErr w:type="spellEnd"/>
      <w:r>
        <w:rPr>
          <w:b/>
          <w:bCs/>
          <w:sz w:val="20"/>
          <w:szCs w:val="36"/>
          <w:lang w:val="en-US"/>
        </w:rPr>
        <w:t>:</w:t>
      </w:r>
    </w:p>
    <w:tbl>
      <w:tblPr>
        <w:tblW w:w="0" w:type="auto"/>
        <w:jc w:val="right"/>
        <w:tblLook w:val="01E0" w:firstRow="1" w:lastRow="1" w:firstColumn="1" w:lastColumn="1" w:noHBand="0" w:noVBand="0"/>
      </w:tblPr>
      <w:tblGrid>
        <w:gridCol w:w="2218"/>
      </w:tblGrid>
      <w:tr w:rsidR="00305486" w14:paraId="37285300" w14:textId="77777777" w:rsidTr="00CB75AF">
        <w:trPr>
          <w:trHeight w:val="556"/>
          <w:jc w:val="right"/>
        </w:trPr>
        <w:tc>
          <w:tcPr>
            <w:tcW w:w="2218" w:type="dxa"/>
          </w:tcPr>
          <w:p w14:paraId="5D091AD7" w14:textId="77777777" w:rsidR="009D7C7C" w:rsidRPr="00DE5967" w:rsidRDefault="007D58EA" w:rsidP="00CB75AF">
            <w:pPr>
              <w:pStyle w:val="referentiekop"/>
              <w:framePr w:hSpace="181" w:wrap="around" w:vAnchor="page" w:hAnchor="page" w:x="9130" w:y="2938"/>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rPr>
                <w:szCs w:val="14"/>
              </w:rPr>
            </w:pPr>
            <w:r w:rsidRPr="00DE5967">
              <w:rPr>
                <w:szCs w:val="14"/>
              </w:rPr>
              <w:t>Aan</w:t>
            </w:r>
          </w:p>
          <w:p w14:paraId="4157975A" w14:textId="77777777" w:rsidR="009D7C7C" w:rsidRDefault="003442B7" w:rsidP="00CB75AF">
            <w:pPr>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rPr>
                <w:noProof/>
                <w:sz w:val="16"/>
                <w:szCs w:val="16"/>
              </w:rPr>
            </w:pPr>
            <w:r>
              <w:rPr>
                <w:noProof/>
                <w:sz w:val="16"/>
                <w:szCs w:val="16"/>
              </w:rPr>
              <w:t>Martijn van Gruijthuijsen</w:t>
            </w:r>
          </w:p>
          <w:p w14:paraId="58562B17" w14:textId="77777777" w:rsidR="00A97B1A" w:rsidRDefault="00A97B1A" w:rsidP="00CB75AF">
            <w:pPr>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rPr>
                <w:noProof/>
                <w:sz w:val="16"/>
                <w:szCs w:val="16"/>
              </w:rPr>
            </w:pPr>
            <w:r>
              <w:rPr>
                <w:noProof/>
                <w:sz w:val="16"/>
                <w:szCs w:val="16"/>
              </w:rPr>
              <w:t>Stijn Smeulders</w:t>
            </w:r>
          </w:p>
          <w:p w14:paraId="7CBFF18F" w14:textId="77777777" w:rsidR="00A97B1A" w:rsidRDefault="005A1A50" w:rsidP="00CB75AF">
            <w:pPr>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rPr>
                <w:noProof/>
                <w:sz w:val="16"/>
                <w:szCs w:val="16"/>
              </w:rPr>
            </w:pPr>
            <w:r>
              <w:rPr>
                <w:noProof/>
                <w:sz w:val="16"/>
                <w:szCs w:val="16"/>
              </w:rPr>
              <w:t>Ab Smit</w:t>
            </w:r>
          </w:p>
          <w:p w14:paraId="6AA303D7" w14:textId="77777777" w:rsidR="00495FE5" w:rsidRDefault="00982842" w:rsidP="00CB75AF">
            <w:pPr>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rPr>
                <w:noProof/>
                <w:sz w:val="16"/>
                <w:szCs w:val="16"/>
              </w:rPr>
            </w:pPr>
            <w:r>
              <w:rPr>
                <w:noProof/>
                <w:sz w:val="16"/>
                <w:szCs w:val="16"/>
              </w:rPr>
              <w:t>Nadine Gooijers</w:t>
            </w:r>
          </w:p>
          <w:p w14:paraId="0AD749EB" w14:textId="20FAFF88" w:rsidR="00A97B1A" w:rsidRDefault="006240A4" w:rsidP="00CB75AF">
            <w:pPr>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rPr>
                <w:noProof/>
                <w:sz w:val="16"/>
                <w:szCs w:val="16"/>
              </w:rPr>
            </w:pPr>
            <w:r>
              <w:rPr>
                <w:noProof/>
                <w:sz w:val="16"/>
                <w:szCs w:val="16"/>
              </w:rPr>
              <w:t>Jeroen Boogert</w:t>
            </w:r>
          </w:p>
          <w:p w14:paraId="003B64B0" w14:textId="4C43A9D8" w:rsidR="00A97B1A" w:rsidRDefault="00E61782" w:rsidP="00CB75AF">
            <w:pPr>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rPr>
                <w:noProof/>
                <w:sz w:val="16"/>
                <w:szCs w:val="16"/>
              </w:rPr>
            </w:pPr>
            <w:r>
              <w:rPr>
                <w:noProof/>
                <w:sz w:val="16"/>
                <w:szCs w:val="16"/>
              </w:rPr>
              <w:t>Rein-Aart van Vugt</w:t>
            </w:r>
          </w:p>
          <w:p w14:paraId="62B1C712" w14:textId="3A86C939" w:rsidR="00EB3F73" w:rsidRDefault="00EB3F73" w:rsidP="00CB75AF">
            <w:pPr>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rPr>
                <w:noProof/>
                <w:sz w:val="16"/>
                <w:szCs w:val="16"/>
              </w:rPr>
            </w:pPr>
            <w:r>
              <w:rPr>
                <w:noProof/>
                <w:sz w:val="16"/>
                <w:szCs w:val="16"/>
              </w:rPr>
              <w:t>Bart Blomjous</w:t>
            </w:r>
          </w:p>
          <w:p w14:paraId="66FDF18B" w14:textId="31821979" w:rsidR="00FF1E79" w:rsidRPr="00256427" w:rsidRDefault="0003307B" w:rsidP="00256427">
            <w:pPr>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rPr>
                <w:noProof/>
                <w:sz w:val="16"/>
                <w:szCs w:val="16"/>
              </w:rPr>
            </w:pPr>
            <w:r>
              <w:rPr>
                <w:noProof/>
                <w:sz w:val="16"/>
                <w:szCs w:val="16"/>
              </w:rPr>
              <w:t>Bart Krüsemann</w:t>
            </w:r>
            <w:r w:rsidR="00A815E5">
              <w:rPr>
                <w:noProof/>
                <w:sz w:val="16"/>
                <w:szCs w:val="16"/>
              </w:rPr>
              <w:t xml:space="preserve"> (notulen)</w:t>
            </w:r>
          </w:p>
        </w:tc>
      </w:tr>
      <w:tr w:rsidR="00305486" w14:paraId="4D508B31" w14:textId="77777777" w:rsidTr="00CB75AF">
        <w:trPr>
          <w:trHeight w:val="556"/>
          <w:jc w:val="right"/>
        </w:trPr>
        <w:tc>
          <w:tcPr>
            <w:tcW w:w="2218" w:type="dxa"/>
          </w:tcPr>
          <w:p w14:paraId="2104FC92" w14:textId="77777777" w:rsidR="009D7C7C" w:rsidRPr="00DE5967" w:rsidRDefault="007D58EA" w:rsidP="00CB75AF">
            <w:pPr>
              <w:pStyle w:val="referentiekop"/>
              <w:framePr w:hSpace="181" w:wrap="around" w:vAnchor="page" w:hAnchor="page" w:x="9130" w:y="2938"/>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rPr>
                <w:szCs w:val="14"/>
              </w:rPr>
            </w:pPr>
            <w:r w:rsidRPr="00DE5967">
              <w:rPr>
                <w:szCs w:val="14"/>
              </w:rPr>
              <w:t xml:space="preserve">Kopie </w:t>
            </w:r>
            <w:r>
              <w:rPr>
                <w:szCs w:val="14"/>
              </w:rPr>
              <w:t>aan</w:t>
            </w:r>
          </w:p>
          <w:p w14:paraId="364774EC" w14:textId="1AC48EA6" w:rsidR="002667D3" w:rsidRDefault="00DD4B79" w:rsidP="00CB75AF">
            <w:pPr>
              <w:framePr w:hSpace="181" w:wrap="around" w:vAnchor="page" w:hAnchor="page" w:x="9130" w:y="2938"/>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rPr>
                <w:sz w:val="16"/>
                <w:szCs w:val="16"/>
              </w:rPr>
            </w:pPr>
            <w:r>
              <w:rPr>
                <w:sz w:val="16"/>
                <w:szCs w:val="16"/>
              </w:rPr>
              <w:t>Martijn Hulsen</w:t>
            </w:r>
          </w:p>
          <w:p w14:paraId="22D1C108" w14:textId="17F7632E" w:rsidR="00DD4B79" w:rsidRDefault="00DD4B79" w:rsidP="00CB75AF">
            <w:pPr>
              <w:framePr w:hSpace="181" w:wrap="around" w:vAnchor="page" w:hAnchor="page" w:x="9130" w:y="2938"/>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rPr>
                <w:sz w:val="16"/>
                <w:szCs w:val="16"/>
              </w:rPr>
            </w:pPr>
            <w:r>
              <w:rPr>
                <w:sz w:val="16"/>
                <w:szCs w:val="16"/>
              </w:rPr>
              <w:t>Laura Trommelen</w:t>
            </w:r>
          </w:p>
          <w:p w14:paraId="090DB731" w14:textId="128FF6CC" w:rsidR="002667D3" w:rsidRDefault="00A53780" w:rsidP="00CB75AF">
            <w:pPr>
              <w:framePr w:hSpace="181" w:wrap="around" w:vAnchor="page" w:hAnchor="page" w:x="9130" w:y="2938"/>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rPr>
                <w:sz w:val="16"/>
                <w:szCs w:val="16"/>
              </w:rPr>
            </w:pPr>
            <w:r>
              <w:rPr>
                <w:noProof/>
                <w:sz w:val="16"/>
                <w:szCs w:val="16"/>
              </w:rPr>
              <w:t>Loes Engelen</w:t>
            </w:r>
          </w:p>
          <w:p w14:paraId="4C6B54B2" w14:textId="77777777" w:rsidR="00FF1E79" w:rsidRDefault="00A53780" w:rsidP="00CB75AF">
            <w:pPr>
              <w:framePr w:hSpace="181" w:wrap="around" w:vAnchor="page" w:hAnchor="page" w:x="9130" w:y="2938"/>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rPr>
                <w:sz w:val="16"/>
                <w:szCs w:val="16"/>
              </w:rPr>
            </w:pPr>
            <w:r>
              <w:rPr>
                <w:sz w:val="16"/>
                <w:szCs w:val="16"/>
              </w:rPr>
              <w:t>Lars de Wit</w:t>
            </w:r>
            <w:r w:rsidR="000C1F3A">
              <w:rPr>
                <w:sz w:val="16"/>
                <w:szCs w:val="16"/>
              </w:rPr>
              <w:t xml:space="preserve"> </w:t>
            </w:r>
          </w:p>
          <w:p w14:paraId="76DCC474" w14:textId="77777777" w:rsidR="00F14C6A" w:rsidRDefault="00F14C6A" w:rsidP="00CB75AF">
            <w:pPr>
              <w:framePr w:hSpace="181" w:wrap="around" w:vAnchor="page" w:hAnchor="page" w:x="9130" w:y="2938"/>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rPr>
                <w:noProof/>
                <w:sz w:val="16"/>
                <w:szCs w:val="16"/>
              </w:rPr>
            </w:pPr>
            <w:r>
              <w:rPr>
                <w:noProof/>
                <w:sz w:val="16"/>
                <w:szCs w:val="16"/>
              </w:rPr>
              <w:t>Mariken Spijkerman</w:t>
            </w:r>
          </w:p>
          <w:p w14:paraId="6D255C3D" w14:textId="5499D163" w:rsidR="00F14C6A" w:rsidRPr="00A97B1A" w:rsidRDefault="00F14C6A" w:rsidP="00CB75AF">
            <w:pPr>
              <w:framePr w:hSpace="181" w:wrap="around" w:vAnchor="page" w:hAnchor="page" w:x="9130" w:y="2938"/>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rPr>
                <w:noProof/>
                <w:sz w:val="16"/>
                <w:szCs w:val="16"/>
              </w:rPr>
            </w:pPr>
            <w:r>
              <w:rPr>
                <w:noProof/>
                <w:sz w:val="16"/>
                <w:szCs w:val="16"/>
              </w:rPr>
              <w:t>Fons Bok</w:t>
            </w:r>
          </w:p>
        </w:tc>
      </w:tr>
      <w:tr w:rsidR="00305486" w14:paraId="1B2AEB36" w14:textId="77777777" w:rsidTr="00CB75AF">
        <w:trPr>
          <w:trHeight w:val="556"/>
          <w:jc w:val="right"/>
        </w:trPr>
        <w:tc>
          <w:tcPr>
            <w:tcW w:w="2218" w:type="dxa"/>
          </w:tcPr>
          <w:p w14:paraId="25F8BA88" w14:textId="77777777" w:rsidR="009D7C7C" w:rsidRPr="00DE5967" w:rsidRDefault="007D58EA" w:rsidP="00CB75AF">
            <w:pPr>
              <w:pStyle w:val="referentiekop"/>
              <w:framePr w:hSpace="181" w:wrap="around" w:vAnchor="page" w:hAnchor="page" w:x="9130" w:y="2938"/>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rPr>
                <w:szCs w:val="14"/>
              </w:rPr>
            </w:pPr>
            <w:r w:rsidRPr="00DE5967">
              <w:rPr>
                <w:szCs w:val="14"/>
              </w:rPr>
              <w:t>Datum</w:t>
            </w:r>
          </w:p>
          <w:p w14:paraId="5218C42E" w14:textId="1229D748" w:rsidR="009D7C7C" w:rsidRPr="00DE5967" w:rsidRDefault="00F14C6A" w:rsidP="002F03A5">
            <w:pPr>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rPr>
                <w:szCs w:val="16"/>
              </w:rPr>
            </w:pPr>
            <w:r>
              <w:rPr>
                <w:noProof/>
                <w:sz w:val="16"/>
                <w:szCs w:val="16"/>
              </w:rPr>
              <w:t>10</w:t>
            </w:r>
            <w:r w:rsidR="0083295E">
              <w:rPr>
                <w:noProof/>
                <w:sz w:val="16"/>
                <w:szCs w:val="16"/>
              </w:rPr>
              <w:t xml:space="preserve"> juli 2026</w:t>
            </w:r>
          </w:p>
        </w:tc>
      </w:tr>
      <w:tr w:rsidR="00305486" w14:paraId="7966B8E0" w14:textId="77777777" w:rsidTr="00CB75AF">
        <w:trPr>
          <w:trHeight w:val="556"/>
          <w:jc w:val="right"/>
        </w:trPr>
        <w:tc>
          <w:tcPr>
            <w:tcW w:w="2218" w:type="dxa"/>
          </w:tcPr>
          <w:p w14:paraId="5C889CA6" w14:textId="77777777" w:rsidR="009D7C7C" w:rsidRPr="00DE5967" w:rsidRDefault="007D58EA" w:rsidP="00CB75AF">
            <w:pPr>
              <w:pStyle w:val="PNB"/>
              <w:framePr w:hSpace="181" w:wrap="around" w:vAnchor="page" w:hAnchor="page" w:x="9130" w:y="2938"/>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rPr>
                <w:b/>
                <w:sz w:val="14"/>
                <w:szCs w:val="14"/>
              </w:rPr>
            </w:pPr>
            <w:r w:rsidRPr="00DE5967">
              <w:rPr>
                <w:b/>
                <w:sz w:val="14"/>
                <w:szCs w:val="14"/>
              </w:rPr>
              <w:t>Van</w:t>
            </w:r>
          </w:p>
          <w:p w14:paraId="7FEE70B4" w14:textId="77777777" w:rsidR="009D7C7C" w:rsidRPr="00166934" w:rsidRDefault="007D58EA" w:rsidP="00D82C0A">
            <w:pPr>
              <w:framePr w:hSpace="181" w:wrap="around" w:vAnchor="page" w:hAnchor="page" w:x="9130" w:y="2938"/>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rPr>
                <w:szCs w:val="16"/>
              </w:rPr>
            </w:pPr>
            <w:r>
              <w:rPr>
                <w:noProof/>
                <w:sz w:val="16"/>
                <w:szCs w:val="16"/>
              </w:rPr>
              <w:t>Frank van Dam</w:t>
            </w:r>
          </w:p>
        </w:tc>
      </w:tr>
      <w:tr w:rsidR="00305486" w14:paraId="610E7EC5" w14:textId="77777777" w:rsidTr="00CB75AF">
        <w:trPr>
          <w:trHeight w:val="556"/>
          <w:jc w:val="right"/>
        </w:trPr>
        <w:tc>
          <w:tcPr>
            <w:tcW w:w="2218" w:type="dxa"/>
          </w:tcPr>
          <w:p w14:paraId="74CF6395" w14:textId="77777777" w:rsidR="009D7C7C" w:rsidRPr="00DE5967" w:rsidRDefault="007D58EA" w:rsidP="00CB75AF">
            <w:pPr>
              <w:framePr w:hSpace="181" w:wrap="around" w:vAnchor="page" w:hAnchor="page" w:x="9130" w:y="2938"/>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rPr>
                <w:b/>
                <w:sz w:val="14"/>
                <w:szCs w:val="14"/>
              </w:rPr>
            </w:pPr>
            <w:r w:rsidRPr="00DE5967">
              <w:rPr>
                <w:b/>
                <w:sz w:val="14"/>
                <w:szCs w:val="14"/>
              </w:rPr>
              <w:t>Telefoon</w:t>
            </w:r>
          </w:p>
          <w:p w14:paraId="532C2EDC" w14:textId="77777777" w:rsidR="009D7C7C" w:rsidRPr="00DE5967" w:rsidRDefault="007D58EA" w:rsidP="00CB75AF">
            <w:pPr>
              <w:framePr w:hSpace="181" w:wrap="around" w:vAnchor="page" w:hAnchor="page" w:x="9130" w:y="2938"/>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rPr>
                <w:sz w:val="16"/>
                <w:szCs w:val="16"/>
              </w:rPr>
            </w:pPr>
            <w:r>
              <w:rPr>
                <w:noProof/>
                <w:sz w:val="16"/>
                <w:szCs w:val="16"/>
              </w:rPr>
              <w:t>(06) 52 78 36 43</w:t>
            </w:r>
          </w:p>
        </w:tc>
      </w:tr>
      <w:tr w:rsidR="00305486" w14:paraId="1379A214" w14:textId="77777777" w:rsidTr="00CB75AF">
        <w:trPr>
          <w:trHeight w:val="556"/>
          <w:jc w:val="right"/>
        </w:trPr>
        <w:tc>
          <w:tcPr>
            <w:tcW w:w="2218" w:type="dxa"/>
          </w:tcPr>
          <w:p w14:paraId="04222509" w14:textId="77777777" w:rsidR="009D7C7C" w:rsidRDefault="007D58EA" w:rsidP="00CB75AF">
            <w:pPr>
              <w:framePr w:hSpace="181" w:wrap="around" w:vAnchor="page" w:hAnchor="page" w:x="9130" w:y="2938"/>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rPr>
                <w:sz w:val="14"/>
                <w:szCs w:val="14"/>
              </w:rPr>
            </w:pPr>
            <w:r>
              <w:rPr>
                <w:b/>
                <w:sz w:val="14"/>
                <w:szCs w:val="14"/>
              </w:rPr>
              <w:t>Email</w:t>
            </w:r>
          </w:p>
          <w:p w14:paraId="2CF3791A" w14:textId="77777777" w:rsidR="009D7C7C" w:rsidRPr="00166934" w:rsidRDefault="007D58EA" w:rsidP="00CB75AF">
            <w:pPr>
              <w:framePr w:hSpace="181" w:wrap="around" w:vAnchor="page" w:hAnchor="page" w:x="9130" w:y="2938"/>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rPr>
                <w:sz w:val="16"/>
                <w:szCs w:val="16"/>
              </w:rPr>
            </w:pPr>
            <w:r>
              <w:rPr>
                <w:noProof/>
                <w:sz w:val="16"/>
                <w:szCs w:val="16"/>
              </w:rPr>
              <w:t>fvdam@brabant.nl</w:t>
            </w:r>
          </w:p>
        </w:tc>
      </w:tr>
    </w:tbl>
    <w:p w14:paraId="77296020" w14:textId="0FB77350" w:rsidR="00F14C6A" w:rsidRPr="00AA33A9" w:rsidRDefault="00F14C6A" w:rsidP="00F14C6A">
      <w:pPr>
        <w:pStyle w:val="Adressering"/>
        <w:rPr>
          <w:bCs/>
        </w:rPr>
      </w:pPr>
      <w:r w:rsidRPr="00AA33A9">
        <w:rPr>
          <w:bCs/>
        </w:rPr>
        <w:t>Besluitnemers: Martijn van Gruijthuijsen</w:t>
      </w:r>
      <w:r w:rsidR="00D34519">
        <w:rPr>
          <w:bCs/>
        </w:rPr>
        <w:t>, Stijn Smeulders</w:t>
      </w:r>
      <w:r w:rsidRPr="00AA33A9">
        <w:rPr>
          <w:bCs/>
        </w:rPr>
        <w:t xml:space="preserve">, Ab Smit (voorzitter), Nadine Gooijers, </w:t>
      </w:r>
      <w:r>
        <w:rPr>
          <w:bCs/>
        </w:rPr>
        <w:t>Jeroen Boogert</w:t>
      </w:r>
      <w:r w:rsidRPr="00AA33A9">
        <w:rPr>
          <w:bCs/>
        </w:rPr>
        <w:t xml:space="preserve"> en Frank van Dam (</w:t>
      </w:r>
      <w:proofErr w:type="spellStart"/>
      <w:r w:rsidRPr="00AA33A9">
        <w:rPr>
          <w:bCs/>
        </w:rPr>
        <w:t>Treasurer</w:t>
      </w:r>
      <w:proofErr w:type="spellEnd"/>
      <w:r w:rsidRPr="00AA33A9">
        <w:rPr>
          <w:bCs/>
        </w:rPr>
        <w:t>).</w:t>
      </w:r>
    </w:p>
    <w:p w14:paraId="09599F3E" w14:textId="77777777" w:rsidR="00F14C6A" w:rsidRPr="00AA33A9" w:rsidRDefault="00F14C6A" w:rsidP="00F14C6A">
      <w:pPr>
        <w:pStyle w:val="Adressering"/>
        <w:rPr>
          <w:bCs/>
        </w:rPr>
      </w:pPr>
    </w:p>
    <w:p w14:paraId="4E3ECB7D" w14:textId="2F7AB0CE" w:rsidR="00F14C6A" w:rsidRDefault="00F14C6A" w:rsidP="00F14C6A">
      <w:pPr>
        <w:pStyle w:val="Adressering"/>
        <w:rPr>
          <w:bCs/>
        </w:rPr>
      </w:pPr>
      <w:r w:rsidRPr="00AA33A9">
        <w:rPr>
          <w:bCs/>
        </w:rPr>
        <w:t>Niet besluitnemers: Mariken Spijkerman</w:t>
      </w:r>
      <w:r>
        <w:rPr>
          <w:bCs/>
        </w:rPr>
        <w:t xml:space="preserve">, Fons Bok, Bart </w:t>
      </w:r>
      <w:proofErr w:type="spellStart"/>
      <w:r>
        <w:rPr>
          <w:bCs/>
        </w:rPr>
        <w:t>Blomjous</w:t>
      </w:r>
      <w:proofErr w:type="spellEnd"/>
      <w:r>
        <w:rPr>
          <w:bCs/>
        </w:rPr>
        <w:t xml:space="preserve"> (Deloitte), Rein-Aart van Vugt (Deloitte)</w:t>
      </w:r>
      <w:r w:rsidRPr="00AA33A9">
        <w:rPr>
          <w:bCs/>
        </w:rPr>
        <w:t>, Bart Krüsemann (notulist).</w:t>
      </w:r>
    </w:p>
    <w:p w14:paraId="623D0425" w14:textId="77777777" w:rsidR="00F14C6A" w:rsidRPr="00AA33A9" w:rsidRDefault="00F14C6A" w:rsidP="00F14C6A">
      <w:pPr>
        <w:pStyle w:val="Adressering"/>
        <w:rPr>
          <w:bCs/>
        </w:rPr>
      </w:pPr>
    </w:p>
    <w:p w14:paraId="1EF9F653" w14:textId="42352B9C" w:rsidR="00D82C0A" w:rsidRDefault="00F14C6A" w:rsidP="00C15226">
      <w:pPr>
        <w:pStyle w:val="Koptekst"/>
        <w:rPr>
          <w:b/>
          <w:bCs/>
          <w:sz w:val="20"/>
          <w:szCs w:val="36"/>
        </w:rPr>
      </w:pPr>
      <w:r w:rsidRPr="00F14C6A">
        <w:rPr>
          <w:b/>
          <w:bCs/>
          <w:sz w:val="20"/>
          <w:szCs w:val="36"/>
        </w:rPr>
        <w:t>Afwezig</w:t>
      </w:r>
      <w:r>
        <w:rPr>
          <w:b/>
          <w:bCs/>
          <w:sz w:val="20"/>
          <w:szCs w:val="36"/>
        </w:rPr>
        <w:t>:</w:t>
      </w:r>
    </w:p>
    <w:p w14:paraId="25F69D36" w14:textId="655AC530" w:rsidR="00F14C6A" w:rsidRPr="00F14C6A" w:rsidRDefault="00F14C6A" w:rsidP="00C15226">
      <w:pPr>
        <w:pStyle w:val="Koptekst"/>
        <w:rPr>
          <w:sz w:val="20"/>
          <w:szCs w:val="36"/>
        </w:rPr>
      </w:pPr>
      <w:proofErr w:type="spellStart"/>
      <w:r w:rsidRPr="00F14C6A">
        <w:rPr>
          <w:sz w:val="20"/>
          <w:szCs w:val="36"/>
        </w:rPr>
        <w:t>Nvt</w:t>
      </w:r>
      <w:proofErr w:type="spellEnd"/>
      <w:r>
        <w:rPr>
          <w:sz w:val="20"/>
          <w:szCs w:val="36"/>
        </w:rPr>
        <w:t>.</w:t>
      </w:r>
    </w:p>
    <w:p w14:paraId="172D5A15" w14:textId="77777777" w:rsidR="009D7C7C" w:rsidRPr="00F14C6A" w:rsidRDefault="009D7C7C" w:rsidP="00C15226">
      <w:pPr>
        <w:pStyle w:val="Koptekst"/>
        <w:rPr>
          <w:sz w:val="20"/>
          <w:szCs w:val="36"/>
        </w:rPr>
      </w:pPr>
    </w:p>
    <w:p w14:paraId="39AAE4A1" w14:textId="77777777" w:rsidR="00F14C6A" w:rsidRDefault="00D82C0A" w:rsidP="00F14C6A">
      <w:pPr>
        <w:numPr>
          <w:ilvl w:val="0"/>
          <w:numId w:val="18"/>
        </w:numPr>
        <w:tabs>
          <w:tab w:val="clear" w:pos="720"/>
          <w:tab w:val="num" w:pos="360"/>
        </w:tabs>
        <w:ind w:hanging="720"/>
        <w:rPr>
          <w:b/>
        </w:rPr>
      </w:pPr>
      <w:r w:rsidRPr="00D82C0A">
        <w:rPr>
          <w:b/>
        </w:rPr>
        <w:t>Opening en mededelingen</w:t>
      </w:r>
    </w:p>
    <w:p w14:paraId="475C9671" w14:textId="77777777" w:rsidR="00F14C6A" w:rsidRDefault="00F14C6A" w:rsidP="00F14C6A">
      <w:pPr>
        <w:ind w:firstLine="284"/>
      </w:pPr>
      <w:r w:rsidRPr="00F14C6A">
        <w:rPr>
          <w:iCs/>
        </w:rPr>
        <w:t>W</w:t>
      </w:r>
      <w:r w:rsidR="00191524" w:rsidRPr="00F14C6A">
        <w:t>elkom</w:t>
      </w:r>
      <w:r w:rsidR="00191524">
        <w:t xml:space="preserve"> aan de nieuwe accountants, de heren Van Vugt en </w:t>
      </w:r>
      <w:proofErr w:type="spellStart"/>
      <w:r w:rsidR="00191524">
        <w:t>Blomjous</w:t>
      </w:r>
      <w:proofErr w:type="spellEnd"/>
      <w:r w:rsidR="00191524">
        <w:t xml:space="preserve"> die namens </w:t>
      </w:r>
    </w:p>
    <w:p w14:paraId="6069414F" w14:textId="77777777" w:rsidR="00F14C6A" w:rsidRDefault="00191524" w:rsidP="00F14C6A">
      <w:pPr>
        <w:ind w:firstLine="284"/>
      </w:pPr>
      <w:r>
        <w:t xml:space="preserve">Deloitte deelnemen aan de vergaderingen van Treasury </w:t>
      </w:r>
      <w:proofErr w:type="spellStart"/>
      <w:r>
        <w:t>Committee</w:t>
      </w:r>
      <w:proofErr w:type="spellEnd"/>
      <w:r>
        <w:t>.</w:t>
      </w:r>
    </w:p>
    <w:p w14:paraId="07587097" w14:textId="77777777" w:rsidR="00F14C6A" w:rsidRDefault="00F14C6A" w:rsidP="00F14C6A">
      <w:pPr>
        <w:ind w:firstLine="284"/>
      </w:pPr>
    </w:p>
    <w:p w14:paraId="123D4078" w14:textId="4BE7A13D" w:rsidR="00F14C6A" w:rsidRPr="00FB068D" w:rsidRDefault="00F14C6A" w:rsidP="00F14C6A">
      <w:pPr>
        <w:ind w:firstLine="284"/>
      </w:pPr>
      <w:r>
        <w:t xml:space="preserve">Een korte voorstelronde wordt gehouden. </w:t>
      </w:r>
    </w:p>
    <w:p w14:paraId="5290752D" w14:textId="477C4A38" w:rsidR="00FA6CA1" w:rsidRPr="00FB068D" w:rsidRDefault="00FA6CA1" w:rsidP="00A171EB">
      <w:pPr>
        <w:ind w:left="426"/>
      </w:pPr>
    </w:p>
    <w:p w14:paraId="0AEC1D03" w14:textId="3FF273F1" w:rsidR="00D82C0A" w:rsidRDefault="00D82C0A" w:rsidP="00070862">
      <w:pPr>
        <w:numPr>
          <w:ilvl w:val="0"/>
          <w:numId w:val="18"/>
        </w:numPr>
        <w:tabs>
          <w:tab w:val="clear" w:pos="720"/>
          <w:tab w:val="num" w:pos="360"/>
        </w:tabs>
        <w:ind w:hanging="720"/>
        <w:rPr>
          <w:b/>
        </w:rPr>
      </w:pPr>
      <w:r>
        <w:rPr>
          <w:b/>
        </w:rPr>
        <w:t>Agenda</w:t>
      </w:r>
    </w:p>
    <w:p w14:paraId="1F21B184" w14:textId="3C9274C0" w:rsidR="00D82C0A" w:rsidRDefault="00D82C0A" w:rsidP="00F61B48">
      <w:pPr>
        <w:ind w:firstLine="284"/>
        <w:rPr>
          <w:iCs/>
          <w:u w:val="single"/>
        </w:rPr>
      </w:pPr>
      <w:r w:rsidRPr="00F14C6A">
        <w:rPr>
          <w:iCs/>
          <w:u w:val="single"/>
        </w:rPr>
        <w:t>Voorstel:</w:t>
      </w:r>
      <w:r w:rsidRPr="00F14C6A">
        <w:rPr>
          <w:iCs/>
        </w:rPr>
        <w:t xml:space="preserve"> </w:t>
      </w:r>
      <w:r w:rsidR="005F3629" w:rsidRPr="00F14C6A">
        <w:rPr>
          <w:iCs/>
        </w:rPr>
        <w:t>V</w:t>
      </w:r>
      <w:r w:rsidRPr="00F14C6A">
        <w:rPr>
          <w:iCs/>
        </w:rPr>
        <w:t>aststellen van de agenda</w:t>
      </w:r>
      <w:r w:rsidR="000E262A" w:rsidRPr="00F14C6A">
        <w:rPr>
          <w:iCs/>
        </w:rPr>
        <w:t>.</w:t>
      </w:r>
    </w:p>
    <w:p w14:paraId="2083E58A" w14:textId="14CFBB13" w:rsidR="00F14C6A" w:rsidRPr="00F14C6A" w:rsidRDefault="00F14C6A" w:rsidP="00F61B48">
      <w:pPr>
        <w:ind w:firstLine="284"/>
        <w:rPr>
          <w:iCs/>
          <w:u w:val="single"/>
        </w:rPr>
      </w:pPr>
      <w:r>
        <w:rPr>
          <w:iCs/>
          <w:u w:val="single"/>
        </w:rPr>
        <w:t>Besluit:</w:t>
      </w:r>
      <w:r w:rsidRPr="00F14C6A">
        <w:rPr>
          <w:iCs/>
        </w:rPr>
        <w:t xml:space="preserve"> Agenda wordt vastgesteld</w:t>
      </w:r>
    </w:p>
    <w:p w14:paraId="6AA3DBFC" w14:textId="77777777" w:rsidR="00D82C0A" w:rsidRPr="00D82C0A" w:rsidRDefault="00D82C0A" w:rsidP="00D82C0A">
      <w:pPr>
        <w:ind w:firstLine="708"/>
      </w:pPr>
    </w:p>
    <w:p w14:paraId="2B3B33E1" w14:textId="373C7110" w:rsidR="0025166D" w:rsidRPr="00495FE5" w:rsidRDefault="00D82C0A" w:rsidP="00070862">
      <w:pPr>
        <w:numPr>
          <w:ilvl w:val="0"/>
          <w:numId w:val="18"/>
        </w:numPr>
        <w:tabs>
          <w:tab w:val="clear" w:pos="720"/>
          <w:tab w:val="num" w:pos="360"/>
        </w:tabs>
        <w:ind w:hanging="720"/>
        <w:rPr>
          <w:b/>
        </w:rPr>
      </w:pPr>
      <w:r>
        <w:rPr>
          <w:b/>
        </w:rPr>
        <w:t>Ve</w:t>
      </w:r>
      <w:r w:rsidR="00A46457">
        <w:rPr>
          <w:b/>
        </w:rPr>
        <w:t xml:space="preserve">rslag van de vorige bijeenkomst </w:t>
      </w:r>
      <w:r w:rsidR="003B2BE6">
        <w:rPr>
          <w:b/>
        </w:rPr>
        <w:t xml:space="preserve">op 3 april </w:t>
      </w:r>
      <w:r w:rsidR="006E65E5">
        <w:rPr>
          <w:b/>
        </w:rPr>
        <w:t>202</w:t>
      </w:r>
      <w:r w:rsidR="00775B4E">
        <w:rPr>
          <w:b/>
        </w:rPr>
        <w:t>6</w:t>
      </w:r>
    </w:p>
    <w:p w14:paraId="194216B5" w14:textId="2FC31E02" w:rsidR="00D82C0A" w:rsidRDefault="00D82C0A" w:rsidP="00F61B48">
      <w:pPr>
        <w:ind w:left="284"/>
        <w:rPr>
          <w:iCs/>
        </w:rPr>
      </w:pPr>
      <w:r w:rsidRPr="00F14C6A">
        <w:rPr>
          <w:iCs/>
          <w:u w:val="single"/>
        </w:rPr>
        <w:t>Voorstel</w:t>
      </w:r>
      <w:r w:rsidRPr="00F14C6A">
        <w:rPr>
          <w:iCs/>
        </w:rPr>
        <w:t xml:space="preserve">: Vaststellen van het verslag van de bijeenkomst op </w:t>
      </w:r>
      <w:r w:rsidR="003B2BE6" w:rsidRPr="00F14C6A">
        <w:rPr>
          <w:iCs/>
        </w:rPr>
        <w:t xml:space="preserve">3 april </w:t>
      </w:r>
      <w:r w:rsidR="00A00F3E" w:rsidRPr="00F14C6A">
        <w:rPr>
          <w:iCs/>
        </w:rPr>
        <w:t>202</w:t>
      </w:r>
      <w:r w:rsidR="00775B4E" w:rsidRPr="00F14C6A">
        <w:rPr>
          <w:iCs/>
        </w:rPr>
        <w:t>6</w:t>
      </w:r>
      <w:r w:rsidRPr="00F14C6A">
        <w:rPr>
          <w:iCs/>
        </w:rPr>
        <w:t>.</w:t>
      </w:r>
    </w:p>
    <w:p w14:paraId="78FC9B09" w14:textId="1A361DE7" w:rsidR="00F14C6A" w:rsidRPr="00F14C6A" w:rsidRDefault="00F14C6A" w:rsidP="00F61B48">
      <w:pPr>
        <w:ind w:left="284"/>
        <w:rPr>
          <w:iCs/>
        </w:rPr>
      </w:pPr>
      <w:r>
        <w:rPr>
          <w:iCs/>
          <w:u w:val="single"/>
        </w:rPr>
        <w:t>Besluit:</w:t>
      </w:r>
      <w:r>
        <w:rPr>
          <w:iCs/>
        </w:rPr>
        <w:t xml:space="preserve"> Het verslag wordt vastgesteld. </w:t>
      </w:r>
    </w:p>
    <w:p w14:paraId="176DDAAC" w14:textId="77777777" w:rsidR="00D82C0A" w:rsidRPr="00D82C0A" w:rsidRDefault="00D82C0A" w:rsidP="00D82C0A">
      <w:pPr>
        <w:ind w:left="720"/>
      </w:pPr>
    </w:p>
    <w:p w14:paraId="6C6AC5CF" w14:textId="31530E32" w:rsidR="00D82C0A" w:rsidRPr="00867A7A" w:rsidRDefault="00D82C0A" w:rsidP="00070862">
      <w:pPr>
        <w:numPr>
          <w:ilvl w:val="0"/>
          <w:numId w:val="18"/>
        </w:numPr>
        <w:tabs>
          <w:tab w:val="clear" w:pos="720"/>
          <w:tab w:val="num" w:pos="360"/>
        </w:tabs>
        <w:ind w:left="284" w:hanging="284"/>
        <w:rPr>
          <w:b/>
          <w:lang w:val="fr-FR"/>
        </w:rPr>
      </w:pPr>
      <w:r w:rsidRPr="00867A7A">
        <w:rPr>
          <w:b/>
          <w:lang w:val="fr-FR"/>
        </w:rPr>
        <w:t xml:space="preserve">Rapportage </w:t>
      </w:r>
      <w:proofErr w:type="spellStart"/>
      <w:r w:rsidR="009C2ED3" w:rsidRPr="001D307C">
        <w:rPr>
          <w:b/>
          <w:lang w:val="fr-FR"/>
        </w:rPr>
        <w:t>I</w:t>
      </w:r>
      <w:r w:rsidRPr="001D307C">
        <w:rPr>
          <w:b/>
          <w:lang w:val="fr-FR"/>
        </w:rPr>
        <w:t>mmunisatieportefeuille</w:t>
      </w:r>
      <w:proofErr w:type="spellEnd"/>
      <w:r w:rsidRPr="00867A7A">
        <w:rPr>
          <w:b/>
          <w:lang w:val="fr-FR"/>
        </w:rPr>
        <w:t xml:space="preserve"> en </w:t>
      </w:r>
      <w:proofErr w:type="spellStart"/>
      <w:r w:rsidRPr="001D307C">
        <w:rPr>
          <w:b/>
          <w:lang w:val="fr-FR"/>
        </w:rPr>
        <w:t>liquiditeiten</w:t>
      </w:r>
      <w:proofErr w:type="spellEnd"/>
    </w:p>
    <w:p w14:paraId="3AC487BE" w14:textId="77777777" w:rsidR="00D34519" w:rsidRDefault="009C2ED3" w:rsidP="00D34519">
      <w:pPr>
        <w:ind w:left="284"/>
        <w:rPr>
          <w:iCs/>
        </w:rPr>
      </w:pPr>
      <w:r w:rsidRPr="00F14C6A">
        <w:rPr>
          <w:iCs/>
          <w:u w:val="single"/>
        </w:rPr>
        <w:t>Voorste</w:t>
      </w:r>
      <w:r w:rsidR="00F14C6A">
        <w:rPr>
          <w:iCs/>
          <w:u w:val="single"/>
        </w:rPr>
        <w:t>l:</w:t>
      </w:r>
      <w:r w:rsidRPr="00F14C6A">
        <w:rPr>
          <w:iCs/>
        </w:rPr>
        <w:t xml:space="preserve"> Kennis</w:t>
      </w:r>
      <w:r w:rsidR="008A4600" w:rsidRPr="00F14C6A">
        <w:rPr>
          <w:iCs/>
        </w:rPr>
        <w:t xml:space="preserve"> te </w:t>
      </w:r>
      <w:r w:rsidRPr="00F14C6A">
        <w:rPr>
          <w:iCs/>
        </w:rPr>
        <w:t>nemen en bespreken van de rapportage</w:t>
      </w:r>
    </w:p>
    <w:p w14:paraId="5E7E82AB" w14:textId="77777777" w:rsidR="00D34519" w:rsidRDefault="00D34519" w:rsidP="00D34519">
      <w:pPr>
        <w:ind w:left="284"/>
        <w:rPr>
          <w:iCs/>
        </w:rPr>
      </w:pPr>
    </w:p>
    <w:p w14:paraId="43BA088E" w14:textId="77777777" w:rsidR="00D34519" w:rsidRDefault="00111EA5" w:rsidP="00D34519">
      <w:pPr>
        <w:ind w:left="284"/>
        <w:rPr>
          <w:iCs/>
        </w:rPr>
      </w:pPr>
      <w:r w:rsidRPr="00111EA5">
        <w:rPr>
          <w:iCs/>
        </w:rPr>
        <w:t>De aangepaste opzet met een beknopte samenvatting en een uitgebreide rapportage is besproken. De heer Smeulders gaf aan tevreden te zijn met de samenvatting. Besloten is deze vorm te handhaven.</w:t>
      </w:r>
    </w:p>
    <w:p w14:paraId="491EFA66" w14:textId="77777777" w:rsidR="00D34519" w:rsidRDefault="00D34519" w:rsidP="00D34519">
      <w:pPr>
        <w:ind w:left="284"/>
        <w:rPr>
          <w:iCs/>
        </w:rPr>
      </w:pPr>
    </w:p>
    <w:p w14:paraId="3AF42B28" w14:textId="13D70482" w:rsidR="00D34519" w:rsidRDefault="00111EA5" w:rsidP="00D34519">
      <w:pPr>
        <w:ind w:left="284"/>
        <w:rPr>
          <w:iCs/>
        </w:rPr>
      </w:pPr>
      <w:r w:rsidRPr="00111EA5">
        <w:rPr>
          <w:iCs/>
        </w:rPr>
        <w:t>Aandacht werd gevraagd voor twee punten. Ten eerste dient het belegd vermogen duidelijker terug te komen. Ten tweede ontbreekt in de samenvatting de stand van de rekening-courant. Omdat de renteopbrengsten hieruit aanzienlijk zijn, is afgesproken dit alsnog in de oplegger op te nemen en de ramingen hierop later aan te passen.</w:t>
      </w:r>
    </w:p>
    <w:p w14:paraId="512AB429" w14:textId="77777777" w:rsidR="00D34519" w:rsidRDefault="00D34519" w:rsidP="00D34519">
      <w:pPr>
        <w:ind w:left="284"/>
        <w:rPr>
          <w:iCs/>
        </w:rPr>
      </w:pPr>
    </w:p>
    <w:p w14:paraId="70228F5B" w14:textId="77777777" w:rsidR="00D34519" w:rsidRDefault="00111EA5" w:rsidP="00D34519">
      <w:pPr>
        <w:ind w:left="284"/>
        <w:rPr>
          <w:iCs/>
        </w:rPr>
      </w:pPr>
      <w:r w:rsidRPr="00111EA5">
        <w:rPr>
          <w:iCs/>
        </w:rPr>
        <w:t>Vervolgens is gesproken over de indexering van het dividend en de rendementsramingen. Afgesproken is de bestaande indexeringssystematiek voort te zetten totdat hierover nieuwe bestuurlijke afspraken worden gemaakt. De ramingen zullen hierop worden aangepast.</w:t>
      </w:r>
    </w:p>
    <w:p w14:paraId="237B2A67" w14:textId="77777777" w:rsidR="00D34519" w:rsidRDefault="00D34519" w:rsidP="00D34519">
      <w:pPr>
        <w:ind w:left="284"/>
        <w:rPr>
          <w:iCs/>
        </w:rPr>
      </w:pPr>
    </w:p>
    <w:p w14:paraId="4FF2F28A" w14:textId="77777777" w:rsidR="00D34519" w:rsidRDefault="00111EA5" w:rsidP="00D34519">
      <w:pPr>
        <w:ind w:left="284"/>
        <w:rPr>
          <w:iCs/>
        </w:rPr>
      </w:pPr>
      <w:r w:rsidRPr="00111EA5">
        <w:rPr>
          <w:iCs/>
        </w:rPr>
        <w:t xml:space="preserve">Daarnaast is stilgestaan bij de mogelijke gevolgen van de herverdeling van het Provinciefonds en de relatie met toekomstige rendementen. Geconstateerd is dat de buffer binnen de </w:t>
      </w:r>
      <w:r>
        <w:rPr>
          <w:iCs/>
        </w:rPr>
        <w:t>d</w:t>
      </w:r>
      <w:r w:rsidRPr="00111EA5">
        <w:rPr>
          <w:iCs/>
        </w:rPr>
        <w:t>ividend- en rentereserve naar verwachting blijft groeien. Deze buffer kan worden ingezet om toekomstige tegenvallers op te vangen, maar dit beperkt de ruimte voor andere doeleinden. Ook een verhoging van het doelrendement is als mogelijke optie besproken.</w:t>
      </w:r>
    </w:p>
    <w:p w14:paraId="6573D288" w14:textId="77777777" w:rsidR="00D34519" w:rsidRDefault="00D34519" w:rsidP="00D34519">
      <w:pPr>
        <w:ind w:left="284"/>
        <w:rPr>
          <w:iCs/>
        </w:rPr>
      </w:pPr>
    </w:p>
    <w:p w14:paraId="6237B614" w14:textId="77777777" w:rsidR="00D34519" w:rsidRDefault="00111EA5" w:rsidP="00D34519">
      <w:pPr>
        <w:ind w:left="284"/>
        <w:rPr>
          <w:iCs/>
        </w:rPr>
      </w:pPr>
      <w:r w:rsidRPr="00111EA5">
        <w:rPr>
          <w:iCs/>
        </w:rPr>
        <w:lastRenderedPageBreak/>
        <w:t>Afgesproken is om na de zomer, in aanloop naar de begroting, scenario’s uit te werken. Daarbij wordt inzicht gegeven in de gevolgen van de herverdeling van het Provinciefonds, de effecten van een verhoging van het doelrendement en de consequenties voor de begrotingsruimte en de inzetbaarheid van de buffer. Deze informatie wordt mede opgesteld met het oog op het nieuwe bestuur.</w:t>
      </w:r>
    </w:p>
    <w:p w14:paraId="4015ADC8" w14:textId="77777777" w:rsidR="00D34519" w:rsidRDefault="00D34519" w:rsidP="00D34519">
      <w:pPr>
        <w:ind w:left="284"/>
        <w:rPr>
          <w:iCs/>
        </w:rPr>
      </w:pPr>
    </w:p>
    <w:p w14:paraId="07FB979B" w14:textId="7D1F97F6" w:rsidR="00111EA5" w:rsidRPr="00111EA5" w:rsidRDefault="00111EA5" w:rsidP="00D34519">
      <w:pPr>
        <w:ind w:left="284"/>
        <w:rPr>
          <w:iCs/>
        </w:rPr>
      </w:pPr>
      <w:r w:rsidRPr="00111EA5">
        <w:rPr>
          <w:iCs/>
        </w:rPr>
        <w:t>Deloitte gaf aan dat de rapportage voldoende inzicht biedt en dat de relevante beleidsmatige discussies worden gevoerd. Tevens werd opgemerkt dat de gerealiseerde rendementen in lijn liggen met de oorspronkelijke doelstellingen van de portefeuille. Daarbij is verwezen naar de bestaande memo waarin de maximale omvang van de buffer van € 360 miljoen wordt onderbouwd.</w:t>
      </w:r>
    </w:p>
    <w:p w14:paraId="21B7C6AA" w14:textId="77777777" w:rsidR="00111EA5" w:rsidRPr="00111EA5" w:rsidRDefault="00111EA5" w:rsidP="00741151">
      <w:pPr>
        <w:rPr>
          <w:iCs/>
        </w:rPr>
      </w:pPr>
    </w:p>
    <w:p w14:paraId="7BF4D9DF" w14:textId="76B38B90" w:rsidR="009F16CE" w:rsidRDefault="009F16CE" w:rsidP="009F16CE">
      <w:pPr>
        <w:numPr>
          <w:ilvl w:val="0"/>
          <w:numId w:val="18"/>
        </w:numPr>
        <w:tabs>
          <w:tab w:val="clear" w:pos="720"/>
          <w:tab w:val="num" w:pos="360"/>
        </w:tabs>
        <w:ind w:left="284" w:hanging="284"/>
        <w:rPr>
          <w:b/>
        </w:rPr>
      </w:pPr>
      <w:r>
        <w:rPr>
          <w:b/>
        </w:rPr>
        <w:t xml:space="preserve">Investeringsvoorstel </w:t>
      </w:r>
      <w:r w:rsidR="00736612">
        <w:rPr>
          <w:b/>
        </w:rPr>
        <w:t>financiering aan Stichting Nationaal Warmtefonds (NWF)</w:t>
      </w:r>
    </w:p>
    <w:p w14:paraId="044CACE4" w14:textId="77777777" w:rsidR="00D34519" w:rsidRDefault="00ED5C0B" w:rsidP="00D34519">
      <w:pPr>
        <w:ind w:left="284"/>
        <w:rPr>
          <w:bCs/>
        </w:rPr>
      </w:pPr>
      <w:r w:rsidRPr="00111EA5">
        <w:rPr>
          <w:bCs/>
          <w:u w:val="single"/>
        </w:rPr>
        <w:t>Voorstel:</w:t>
      </w:r>
      <w:r w:rsidRPr="00111EA5">
        <w:rPr>
          <w:bCs/>
        </w:rPr>
        <w:t xml:space="preserve"> In te stemmen met het Investeringsvoorstel </w:t>
      </w:r>
      <w:r w:rsidR="00D91433" w:rsidRPr="00111EA5">
        <w:rPr>
          <w:bCs/>
        </w:rPr>
        <w:t xml:space="preserve">aan Stichting Nationaal Warmtefonds </w:t>
      </w:r>
      <w:r w:rsidRPr="00111EA5">
        <w:rPr>
          <w:bCs/>
        </w:rPr>
        <w:t>voor maximaal € 150 miljoen en dit aan GS voor te leggen voor “wensen en bedenkingen door PS”.</w:t>
      </w:r>
    </w:p>
    <w:p w14:paraId="6A25EEEE" w14:textId="77777777" w:rsidR="00D34519" w:rsidRDefault="00D34519" w:rsidP="00D34519">
      <w:pPr>
        <w:ind w:left="284"/>
        <w:rPr>
          <w:bCs/>
        </w:rPr>
      </w:pPr>
    </w:p>
    <w:p w14:paraId="799420AF" w14:textId="77777777" w:rsidR="00D34519" w:rsidRDefault="00111EA5" w:rsidP="00D34519">
      <w:pPr>
        <w:ind w:left="284"/>
        <w:rPr>
          <w:bCs/>
        </w:rPr>
      </w:pPr>
      <w:r w:rsidRPr="00111EA5">
        <w:rPr>
          <w:bCs/>
        </w:rPr>
        <w:t>De commissie is geïnformeerd dat voor het investeringsvoorstel aan het Nationaal Warmtefonds een positief advies is ontvangen van de Investeringscommissie (IC).</w:t>
      </w:r>
    </w:p>
    <w:p w14:paraId="37554E4F" w14:textId="77777777" w:rsidR="00D34519" w:rsidRDefault="00D34519" w:rsidP="00D34519">
      <w:pPr>
        <w:ind w:left="284"/>
        <w:rPr>
          <w:bCs/>
        </w:rPr>
      </w:pPr>
    </w:p>
    <w:p w14:paraId="76F857D5" w14:textId="77777777" w:rsidR="00D34519" w:rsidRDefault="00111EA5" w:rsidP="00D34519">
      <w:pPr>
        <w:ind w:left="284"/>
        <w:rPr>
          <w:bCs/>
        </w:rPr>
      </w:pPr>
      <w:r w:rsidRPr="00111EA5">
        <w:rPr>
          <w:bCs/>
        </w:rPr>
        <w:t xml:space="preserve">De leden spraken hun waardering uit voor het voorstel. De heer </w:t>
      </w:r>
      <w:r>
        <w:rPr>
          <w:bCs/>
        </w:rPr>
        <w:t>Smit</w:t>
      </w:r>
      <w:r w:rsidRPr="00111EA5">
        <w:rPr>
          <w:bCs/>
        </w:rPr>
        <w:t xml:space="preserve"> gaf aan het een aansprekend en goed doordacht voorstel te vinden dat aansluit bij de publieke doelstellingen. Ook vanuit </w:t>
      </w:r>
      <w:r w:rsidR="00250F99">
        <w:rPr>
          <w:bCs/>
        </w:rPr>
        <w:t>G</w:t>
      </w:r>
      <w:r w:rsidRPr="00111EA5">
        <w:rPr>
          <w:bCs/>
        </w:rPr>
        <w:t>edeputeerde zijde werd aangegeven positief tegenover het voorstel te staan. Daarbij werd opgemerkt dat de positieve advisering door de IC</w:t>
      </w:r>
      <w:r w:rsidR="00250F99">
        <w:rPr>
          <w:bCs/>
        </w:rPr>
        <w:t>,</w:t>
      </w:r>
      <w:r w:rsidRPr="00111EA5">
        <w:rPr>
          <w:bCs/>
        </w:rPr>
        <w:t xml:space="preserve"> vertrouwen geeft in de kwaliteit van het voorstel.</w:t>
      </w:r>
    </w:p>
    <w:p w14:paraId="315B22A4" w14:textId="77777777" w:rsidR="00D34519" w:rsidRDefault="00D34519" w:rsidP="00D34519">
      <w:pPr>
        <w:ind w:left="284"/>
        <w:rPr>
          <w:bCs/>
        </w:rPr>
      </w:pPr>
    </w:p>
    <w:p w14:paraId="558AE902" w14:textId="77777777" w:rsidR="00D34519" w:rsidRDefault="00111EA5" w:rsidP="00D34519">
      <w:pPr>
        <w:ind w:left="284"/>
        <w:rPr>
          <w:bCs/>
        </w:rPr>
      </w:pPr>
      <w:r w:rsidRPr="00111EA5">
        <w:rPr>
          <w:bCs/>
        </w:rPr>
        <w:t xml:space="preserve">Deloitte stelde enkele vragen over de gehanteerde zekerheidsstructuur, in het bijzonder over de zogenoemde </w:t>
      </w:r>
      <w:r w:rsidRPr="00111EA5">
        <w:rPr>
          <w:bCs/>
          <w:i/>
          <w:iCs/>
        </w:rPr>
        <w:t xml:space="preserve">first </w:t>
      </w:r>
      <w:proofErr w:type="spellStart"/>
      <w:r w:rsidRPr="00111EA5">
        <w:rPr>
          <w:bCs/>
          <w:i/>
          <w:iCs/>
        </w:rPr>
        <w:t>loss</w:t>
      </w:r>
      <w:proofErr w:type="spellEnd"/>
      <w:r w:rsidRPr="00111EA5">
        <w:rPr>
          <w:bCs/>
        </w:rPr>
        <w:t>-constructie van het Rijk. Toegelicht is dat deze constructie inhoudt dat eventuele verliezen eerst door het Rijk worden opgevangen, waardoor de positie van de provincie extra wordt beschermd.</w:t>
      </w:r>
    </w:p>
    <w:p w14:paraId="4A0B6110" w14:textId="77777777" w:rsidR="00D34519" w:rsidRDefault="00D34519" w:rsidP="00D34519">
      <w:pPr>
        <w:ind w:left="284"/>
        <w:rPr>
          <w:bCs/>
        </w:rPr>
      </w:pPr>
    </w:p>
    <w:p w14:paraId="7BB6006B" w14:textId="77777777" w:rsidR="00D34519" w:rsidRDefault="00111EA5" w:rsidP="00D34519">
      <w:pPr>
        <w:ind w:left="284"/>
        <w:rPr>
          <w:bCs/>
        </w:rPr>
      </w:pPr>
      <w:r w:rsidRPr="00111EA5">
        <w:rPr>
          <w:bCs/>
        </w:rPr>
        <w:t>Vervolgens ontstond een gesprek over de procedure rondom wensen en bedenkingen van Provinciale Staten. Daarbij is het onderscheid besproken tussen een wensen- en bedenkingenprocedure en een zienswijzeprocedure. Toegelicht werd dat wensen en bedenkingen veelal betrekking hebben op politieke of beleidsmatige afwegingen en minder op de inhoudelijke of technische uitwerking van een voorstel.</w:t>
      </w:r>
    </w:p>
    <w:p w14:paraId="2F091E14" w14:textId="77777777" w:rsidR="00D34519" w:rsidRDefault="00D34519" w:rsidP="00D34519">
      <w:pPr>
        <w:ind w:left="284"/>
        <w:rPr>
          <w:bCs/>
        </w:rPr>
      </w:pPr>
    </w:p>
    <w:p w14:paraId="4BEAF407" w14:textId="77777777" w:rsidR="00D34519" w:rsidRDefault="00111EA5" w:rsidP="00D34519">
      <w:pPr>
        <w:ind w:left="284"/>
        <w:rPr>
          <w:bCs/>
        </w:rPr>
      </w:pPr>
      <w:r w:rsidRPr="00111EA5">
        <w:rPr>
          <w:bCs/>
        </w:rPr>
        <w:t>Positief werd ontvangen dat het voorstel expliciet begint met de vraag welke publieke doelen worden gerealiseerd en wat de meerwaarde voor inwoners is. De commissie onderschreef het belang van deze benadering.</w:t>
      </w:r>
    </w:p>
    <w:p w14:paraId="5942D8B1" w14:textId="77777777" w:rsidR="00D34519" w:rsidRDefault="00D34519" w:rsidP="00D34519">
      <w:pPr>
        <w:ind w:left="284"/>
        <w:rPr>
          <w:bCs/>
        </w:rPr>
      </w:pPr>
    </w:p>
    <w:p w14:paraId="4146D0A0" w14:textId="43BA32FC" w:rsidR="00111EA5" w:rsidRPr="00111EA5" w:rsidRDefault="00111EA5" w:rsidP="00D34519">
      <w:pPr>
        <w:ind w:left="284"/>
        <w:rPr>
          <w:bCs/>
        </w:rPr>
      </w:pPr>
      <w:r w:rsidRPr="00111EA5">
        <w:rPr>
          <w:bCs/>
        </w:rPr>
        <w:t xml:space="preserve">Deloitte merkte tot slot op dat in de stukken veel aandacht wordt besteed aan mandaten, bevoegdheden en </w:t>
      </w:r>
      <w:proofErr w:type="spellStart"/>
      <w:r w:rsidRPr="00111EA5">
        <w:rPr>
          <w:bCs/>
        </w:rPr>
        <w:t>governance</w:t>
      </w:r>
      <w:proofErr w:type="spellEnd"/>
      <w:r w:rsidRPr="00111EA5">
        <w:rPr>
          <w:bCs/>
        </w:rPr>
        <w:t xml:space="preserve"> en gaf aan dat dit vanuit toezicht- en verantwoordingsperspectief begrijpelijk en passend is.</w:t>
      </w:r>
    </w:p>
    <w:p w14:paraId="5074EEFB" w14:textId="77777777" w:rsidR="00111EA5" w:rsidRDefault="00111EA5" w:rsidP="00F243DC">
      <w:pPr>
        <w:ind w:left="284"/>
        <w:rPr>
          <w:bCs/>
        </w:rPr>
      </w:pPr>
    </w:p>
    <w:p w14:paraId="3613036C" w14:textId="02B63495" w:rsidR="00111EA5" w:rsidRDefault="00111EA5" w:rsidP="00F243DC">
      <w:pPr>
        <w:ind w:left="284"/>
        <w:rPr>
          <w:bCs/>
        </w:rPr>
      </w:pPr>
      <w:r>
        <w:rPr>
          <w:bCs/>
          <w:u w:val="single"/>
        </w:rPr>
        <w:t xml:space="preserve">Besluit: </w:t>
      </w:r>
      <w:r w:rsidR="00250F99">
        <w:rPr>
          <w:bCs/>
        </w:rPr>
        <w:t xml:space="preserve">Er wordt ingestemd met het voorstel. </w:t>
      </w:r>
    </w:p>
    <w:p w14:paraId="25E381D0" w14:textId="77777777" w:rsidR="00250F99" w:rsidRPr="00111EA5" w:rsidRDefault="00250F99" w:rsidP="00F243DC">
      <w:pPr>
        <w:ind w:left="284"/>
        <w:rPr>
          <w:bCs/>
        </w:rPr>
      </w:pPr>
    </w:p>
    <w:p w14:paraId="7845430E" w14:textId="011629B4" w:rsidR="00F243DC" w:rsidRDefault="001A6C30" w:rsidP="00070862">
      <w:pPr>
        <w:numPr>
          <w:ilvl w:val="0"/>
          <w:numId w:val="18"/>
        </w:numPr>
        <w:tabs>
          <w:tab w:val="clear" w:pos="720"/>
          <w:tab w:val="num" w:pos="360"/>
        </w:tabs>
        <w:ind w:left="284" w:hanging="284"/>
        <w:rPr>
          <w:b/>
        </w:rPr>
      </w:pPr>
      <w:r>
        <w:rPr>
          <w:b/>
        </w:rPr>
        <w:t>Zelfevaluatie</w:t>
      </w:r>
      <w:r w:rsidR="00DA48E6">
        <w:rPr>
          <w:b/>
        </w:rPr>
        <w:t xml:space="preserve"> leden Adviescommissie kredietverstrekkingen en investeringen Noord Brabant</w:t>
      </w:r>
    </w:p>
    <w:p w14:paraId="24500A44" w14:textId="080572A2" w:rsidR="00014C63" w:rsidRDefault="00014C63" w:rsidP="006A7373">
      <w:pPr>
        <w:ind w:firstLine="284"/>
        <w:rPr>
          <w:bCs/>
        </w:rPr>
      </w:pPr>
      <w:r w:rsidRPr="00250F99">
        <w:rPr>
          <w:bCs/>
          <w:u w:val="single"/>
        </w:rPr>
        <w:t>Voorstel:</w:t>
      </w:r>
      <w:r w:rsidRPr="00250F99">
        <w:rPr>
          <w:bCs/>
        </w:rPr>
        <w:t xml:space="preserve"> kennis te nemen van het </w:t>
      </w:r>
      <w:r w:rsidR="005A5399" w:rsidRPr="00250F99">
        <w:rPr>
          <w:bCs/>
        </w:rPr>
        <w:t>verslag.</w:t>
      </w:r>
    </w:p>
    <w:p w14:paraId="5EF5BC20" w14:textId="77777777" w:rsidR="00250F99" w:rsidRDefault="00250F99" w:rsidP="006A7373">
      <w:pPr>
        <w:ind w:firstLine="284"/>
        <w:rPr>
          <w:bCs/>
        </w:rPr>
      </w:pPr>
    </w:p>
    <w:p w14:paraId="22069637" w14:textId="77777777" w:rsidR="00250F99" w:rsidRDefault="00250F99" w:rsidP="00250F99">
      <w:pPr>
        <w:ind w:left="360"/>
        <w:rPr>
          <w:bCs/>
        </w:rPr>
      </w:pPr>
      <w:r w:rsidRPr="00250F99">
        <w:rPr>
          <w:bCs/>
        </w:rPr>
        <w:t>Naar aanleiding van de evaluatie van de Investeringscommissie is gevraagd of de stukken aanleiding gaven tot vragen of opmerkingen.</w:t>
      </w:r>
    </w:p>
    <w:p w14:paraId="0B4D76FC" w14:textId="77777777" w:rsidR="00250F99" w:rsidRDefault="00250F99" w:rsidP="00250F99">
      <w:pPr>
        <w:ind w:left="360"/>
        <w:rPr>
          <w:bCs/>
        </w:rPr>
      </w:pPr>
    </w:p>
    <w:p w14:paraId="1865D969" w14:textId="77777777" w:rsidR="00250F99" w:rsidRDefault="00250F99" w:rsidP="00250F99">
      <w:pPr>
        <w:ind w:left="360"/>
        <w:rPr>
          <w:bCs/>
        </w:rPr>
      </w:pPr>
      <w:r w:rsidRPr="00250F99">
        <w:rPr>
          <w:bCs/>
        </w:rPr>
        <w:t xml:space="preserve">Vanuit de commissie werd aangegeven dat de evaluatie prettig leesbaar was en een positief beeld gaf van de toegevoegde waarde van de IC. Daarbij werd wel de vraag opgeworpen in hoeverre de </w:t>
      </w:r>
      <w:r w:rsidRPr="00250F99">
        <w:rPr>
          <w:bCs/>
        </w:rPr>
        <w:lastRenderedPageBreak/>
        <w:t>provincie de beschikbare commerciële ruimte daadwerkelijk benut. Ook bestond belangstelling voor de wijze waarop adviezen van de IC worden verwerkt en teruggekoppeld. Deze onderwerpen werden als waardevolle gesprekspunten voor een nadere informele bespreking benoemd.</w:t>
      </w:r>
    </w:p>
    <w:p w14:paraId="66DE2FC4" w14:textId="77777777" w:rsidR="00250F99" w:rsidRDefault="00250F99" w:rsidP="00250F99">
      <w:pPr>
        <w:ind w:left="360"/>
        <w:rPr>
          <w:bCs/>
        </w:rPr>
      </w:pPr>
    </w:p>
    <w:p w14:paraId="03DC8A85" w14:textId="4DAAEAD5" w:rsidR="00250F99" w:rsidRDefault="00250F99" w:rsidP="00250F99">
      <w:pPr>
        <w:ind w:left="360"/>
        <w:rPr>
          <w:bCs/>
        </w:rPr>
      </w:pPr>
      <w:r w:rsidRPr="00250F99">
        <w:rPr>
          <w:bCs/>
        </w:rPr>
        <w:t xml:space="preserve">Verder werd benadrukt dat de </w:t>
      </w:r>
      <w:r>
        <w:rPr>
          <w:bCs/>
        </w:rPr>
        <w:t>IC</w:t>
      </w:r>
      <w:r w:rsidRPr="00250F99">
        <w:rPr>
          <w:bCs/>
        </w:rPr>
        <w:t xml:space="preserve"> een belangrijke bijdrage levert doordat de leden beschikken over specialistische kennis op het gebied van financiën en risicomanagement. Hun onafhankelijke blik wordt gezien als een belangrijke aanvulling op de provinciale besluitvorming.</w:t>
      </w:r>
    </w:p>
    <w:p w14:paraId="0B297925" w14:textId="77777777" w:rsidR="00250F99" w:rsidRDefault="00250F99" w:rsidP="00250F99">
      <w:pPr>
        <w:ind w:left="360"/>
        <w:rPr>
          <w:bCs/>
        </w:rPr>
      </w:pPr>
    </w:p>
    <w:p w14:paraId="0F957F9C" w14:textId="77777777" w:rsidR="00250F99" w:rsidRDefault="00250F99" w:rsidP="00250F99">
      <w:pPr>
        <w:ind w:left="360"/>
        <w:rPr>
          <w:bCs/>
        </w:rPr>
      </w:pPr>
      <w:r w:rsidRPr="00250F99">
        <w:rPr>
          <w:bCs/>
        </w:rPr>
        <w:t>Wel werd geconstateerd dat de IC vaak pas betrokken wordt op een moment dat voorstellen al grotendeels zijn uitgewerkt en onderhandeld. Besproken is dat eerdere betrokkenheid mogelijk meer ruimte biedt om strategische en commerciële afwegingen mee te nemen. Dit vormt aanleiding om binnen de organisatie te bespreken hoe de IC eerder in het proces kan worden betrokken.</w:t>
      </w:r>
    </w:p>
    <w:p w14:paraId="20CC484D" w14:textId="77777777" w:rsidR="00250F99" w:rsidRDefault="00250F99" w:rsidP="00250F99">
      <w:pPr>
        <w:ind w:left="360"/>
        <w:rPr>
          <w:bCs/>
        </w:rPr>
      </w:pPr>
    </w:p>
    <w:p w14:paraId="78EFF86B" w14:textId="6902859A" w:rsidR="00250F99" w:rsidRPr="00250F99" w:rsidRDefault="00250F99" w:rsidP="00250F99">
      <w:pPr>
        <w:ind w:left="360"/>
        <w:rPr>
          <w:bCs/>
        </w:rPr>
      </w:pPr>
      <w:r w:rsidRPr="00250F99">
        <w:rPr>
          <w:bCs/>
        </w:rPr>
        <w:t>Daarnaast is bevestigd dat op alle adviezen van de IC wordt gereageerd en dat deze in de praktijk worden overgenomen. Tegelijkertijd werd geconcludeerd dat twee verbeterpunten wenselijk zijn:</w:t>
      </w:r>
    </w:p>
    <w:p w14:paraId="291A2233" w14:textId="77777777" w:rsidR="00250F99" w:rsidRPr="00250F99" w:rsidRDefault="00250F99" w:rsidP="00250F99">
      <w:pPr>
        <w:numPr>
          <w:ilvl w:val="0"/>
          <w:numId w:val="34"/>
        </w:numPr>
        <w:rPr>
          <w:bCs/>
        </w:rPr>
      </w:pPr>
      <w:r w:rsidRPr="00250F99">
        <w:rPr>
          <w:bCs/>
        </w:rPr>
        <w:t>een betere terugkoppeling over de opvolging van adviezen;</w:t>
      </w:r>
    </w:p>
    <w:p w14:paraId="6A9EC5C8" w14:textId="77777777" w:rsidR="00250F99" w:rsidRDefault="00250F99" w:rsidP="00250F99">
      <w:pPr>
        <w:numPr>
          <w:ilvl w:val="0"/>
          <w:numId w:val="34"/>
        </w:numPr>
        <w:rPr>
          <w:bCs/>
        </w:rPr>
      </w:pPr>
      <w:r w:rsidRPr="00250F99">
        <w:rPr>
          <w:bCs/>
        </w:rPr>
        <w:t>het inbouwen van een tussenstap, zodat de IC eerder kan meedenken over voorstellen.</w:t>
      </w:r>
    </w:p>
    <w:p w14:paraId="1B370E8D" w14:textId="77777777" w:rsidR="00250F99" w:rsidRDefault="00250F99" w:rsidP="00250F99">
      <w:pPr>
        <w:rPr>
          <w:bCs/>
        </w:rPr>
      </w:pPr>
    </w:p>
    <w:p w14:paraId="43DAB831" w14:textId="77777777" w:rsidR="00250F99" w:rsidRDefault="00250F99" w:rsidP="00250F99">
      <w:pPr>
        <w:ind w:left="360"/>
        <w:rPr>
          <w:bCs/>
        </w:rPr>
      </w:pPr>
      <w:r w:rsidRPr="00250F99">
        <w:rPr>
          <w:bCs/>
        </w:rPr>
        <w:t>Als aandachtspunt voor de toekomst is meegegeven om expliciet te blijven toetsen of de beschikbare commerciële ruimte binnen investeringsvoorstellen optimaal wordt benut.</w:t>
      </w:r>
    </w:p>
    <w:p w14:paraId="7E0B15BB" w14:textId="77777777" w:rsidR="00250F99" w:rsidRDefault="00250F99" w:rsidP="00250F99">
      <w:pPr>
        <w:ind w:left="360"/>
        <w:rPr>
          <w:bCs/>
        </w:rPr>
      </w:pPr>
    </w:p>
    <w:p w14:paraId="42353FCB" w14:textId="09302A9C" w:rsidR="00250F99" w:rsidRPr="00250F99" w:rsidRDefault="00250F99" w:rsidP="00250F99">
      <w:pPr>
        <w:ind w:left="360"/>
        <w:rPr>
          <w:bCs/>
        </w:rPr>
      </w:pPr>
      <w:r>
        <w:rPr>
          <w:bCs/>
        </w:rPr>
        <w:t>D</w:t>
      </w:r>
      <w:r w:rsidRPr="00250F99">
        <w:rPr>
          <w:bCs/>
        </w:rPr>
        <w:t>e evaluatie is vervolgens vastgesteld. Tevens is afgesproken een informele bijeenkomst in te plannen tussen gedeputeerde Martijn van Grui</w:t>
      </w:r>
      <w:r w:rsidR="000E318D">
        <w:rPr>
          <w:bCs/>
        </w:rPr>
        <w:t>j</w:t>
      </w:r>
      <w:r w:rsidRPr="00250F99">
        <w:rPr>
          <w:bCs/>
        </w:rPr>
        <w:t>thuijsen, de leden van de Investeringscommissie om hierover verder van gedachten te wisselen.</w:t>
      </w:r>
    </w:p>
    <w:p w14:paraId="2FCE5DEC" w14:textId="77777777" w:rsidR="00250F99" w:rsidRDefault="00250F99" w:rsidP="001C745B">
      <w:pPr>
        <w:rPr>
          <w:bCs/>
          <w:i/>
          <w:iCs/>
          <w:u w:val="single"/>
        </w:rPr>
      </w:pPr>
    </w:p>
    <w:p w14:paraId="73B98EF3" w14:textId="09FA5667" w:rsidR="001C745B" w:rsidRDefault="001C745B" w:rsidP="001C745B">
      <w:pPr>
        <w:numPr>
          <w:ilvl w:val="0"/>
          <w:numId w:val="18"/>
        </w:numPr>
        <w:tabs>
          <w:tab w:val="clear" w:pos="720"/>
          <w:tab w:val="num" w:pos="360"/>
        </w:tabs>
        <w:ind w:left="284" w:hanging="284"/>
        <w:rPr>
          <w:b/>
        </w:rPr>
      </w:pPr>
      <w:r>
        <w:rPr>
          <w:b/>
        </w:rPr>
        <w:t>Scenario’s aangaande beleidslijn rendement en risico’s Verbonden Partijen</w:t>
      </w:r>
    </w:p>
    <w:p w14:paraId="271AA92F" w14:textId="29CEB9FB" w:rsidR="001C745B" w:rsidRPr="00250F99" w:rsidRDefault="00D65D7D" w:rsidP="002B7200">
      <w:pPr>
        <w:tabs>
          <w:tab w:val="num" w:pos="360"/>
        </w:tabs>
        <w:ind w:left="284"/>
        <w:rPr>
          <w:b/>
        </w:rPr>
      </w:pPr>
      <w:r w:rsidRPr="00250F99">
        <w:rPr>
          <w:bCs/>
          <w:u w:val="single"/>
        </w:rPr>
        <w:t>Voorstel</w:t>
      </w:r>
      <w:r w:rsidR="001C745B" w:rsidRPr="00250F99">
        <w:rPr>
          <w:bCs/>
          <w:u w:val="single"/>
        </w:rPr>
        <w:t>:</w:t>
      </w:r>
      <w:r w:rsidR="001C745B" w:rsidRPr="00250F99">
        <w:rPr>
          <w:bCs/>
        </w:rPr>
        <w:t xml:space="preserve"> </w:t>
      </w:r>
      <w:r w:rsidRPr="00250F99">
        <w:rPr>
          <w:bCs/>
        </w:rPr>
        <w:t>N</w:t>
      </w:r>
      <w:r w:rsidR="001C745B" w:rsidRPr="00250F99">
        <w:rPr>
          <w:bCs/>
        </w:rPr>
        <w:t xml:space="preserve">ader onderzoek </w:t>
      </w:r>
      <w:r w:rsidRPr="00250F99">
        <w:rPr>
          <w:bCs/>
        </w:rPr>
        <w:t xml:space="preserve">te </w:t>
      </w:r>
      <w:r w:rsidR="001C745B" w:rsidRPr="00250F99">
        <w:rPr>
          <w:bCs/>
        </w:rPr>
        <w:t>verricht</w:t>
      </w:r>
      <w:r w:rsidRPr="00250F99">
        <w:rPr>
          <w:bCs/>
        </w:rPr>
        <w:t>en</w:t>
      </w:r>
      <w:r w:rsidR="001C745B" w:rsidRPr="00250F99">
        <w:rPr>
          <w:bCs/>
        </w:rPr>
        <w:t xml:space="preserve"> en scenario</w:t>
      </w:r>
      <w:r w:rsidRPr="00250F99">
        <w:rPr>
          <w:bCs/>
        </w:rPr>
        <w:t>’</w:t>
      </w:r>
      <w:r w:rsidR="001C745B" w:rsidRPr="00250F99">
        <w:rPr>
          <w:bCs/>
        </w:rPr>
        <w:t xml:space="preserve">s </w:t>
      </w:r>
      <w:r w:rsidRPr="00250F99">
        <w:rPr>
          <w:bCs/>
        </w:rPr>
        <w:t>uit te werken</w:t>
      </w:r>
      <w:r w:rsidR="001C745B" w:rsidRPr="00250F99">
        <w:rPr>
          <w:bCs/>
        </w:rPr>
        <w:t>. Deze zullen aan de volgende TC worden voorgelegd</w:t>
      </w:r>
    </w:p>
    <w:p w14:paraId="1152D1AF" w14:textId="77777777" w:rsidR="002767E8" w:rsidRDefault="002767E8" w:rsidP="00A60E9F">
      <w:pPr>
        <w:ind w:left="284"/>
        <w:rPr>
          <w:b/>
        </w:rPr>
      </w:pPr>
    </w:p>
    <w:p w14:paraId="09EFDE9B" w14:textId="77777777" w:rsidR="00250F99" w:rsidRDefault="00250F99" w:rsidP="00250F99">
      <w:pPr>
        <w:ind w:left="360"/>
        <w:rPr>
          <w:bCs/>
        </w:rPr>
      </w:pPr>
      <w:r w:rsidRPr="00250F99">
        <w:rPr>
          <w:bCs/>
        </w:rPr>
        <w:t>De commissie is geïnformeerd over de voortgang van de ontwikkeling van een nieuwe beleidslijn ten aanzien van de risico’s rond eigen vermogen bij Verbonden Partijen.</w:t>
      </w:r>
    </w:p>
    <w:p w14:paraId="14C2EB64" w14:textId="77777777" w:rsidR="00250F99" w:rsidRDefault="00250F99" w:rsidP="00250F99">
      <w:pPr>
        <w:ind w:left="360"/>
        <w:rPr>
          <w:bCs/>
        </w:rPr>
      </w:pPr>
    </w:p>
    <w:p w14:paraId="3D775F70" w14:textId="77777777" w:rsidR="00250F99" w:rsidRDefault="00250F99" w:rsidP="00250F99">
      <w:pPr>
        <w:ind w:left="360"/>
        <w:rPr>
          <w:bCs/>
        </w:rPr>
      </w:pPr>
      <w:r w:rsidRPr="00250F99">
        <w:rPr>
          <w:bCs/>
        </w:rPr>
        <w:t>De heer Van Dam lichtte toe dat momenteel wordt gewerkt aan de verdere uitwerking van deze beleidslijn. Daarbij is geconstateerd dat de benadering van EY op onderdelen afwijkt van de binnen de provincie gehanteerde systematiek. Uitgangspunt is om deze verschillen te analyseren en waar mogelijk de werkwijzen op elkaar af te stemmen.</w:t>
      </w:r>
    </w:p>
    <w:p w14:paraId="70E2F57E" w14:textId="77777777" w:rsidR="00250F99" w:rsidRDefault="00250F99" w:rsidP="00250F99">
      <w:pPr>
        <w:ind w:left="360"/>
        <w:rPr>
          <w:bCs/>
        </w:rPr>
      </w:pPr>
    </w:p>
    <w:p w14:paraId="6B91066B" w14:textId="29CD6E42" w:rsidR="00250F99" w:rsidRPr="00250F99" w:rsidRDefault="00250F99" w:rsidP="00250F99">
      <w:pPr>
        <w:ind w:left="360"/>
        <w:rPr>
          <w:bCs/>
        </w:rPr>
      </w:pPr>
      <w:r w:rsidRPr="00250F99">
        <w:rPr>
          <w:bCs/>
          <w:u w:val="single"/>
        </w:rPr>
        <w:t>Besluit</w:t>
      </w:r>
      <w:r>
        <w:rPr>
          <w:bCs/>
        </w:rPr>
        <w:t xml:space="preserve">: </w:t>
      </w:r>
      <w:r w:rsidRPr="00250F99">
        <w:rPr>
          <w:bCs/>
        </w:rPr>
        <w:t>Afgesproken is dat de uitwerking van de beleidslijn op een volgende vergadering van de commissie wordt teruggebracht voor verdere bespreking. De behandeling staat gepland voor 3 september.</w:t>
      </w:r>
    </w:p>
    <w:p w14:paraId="28A8588E" w14:textId="77777777" w:rsidR="00250F99" w:rsidRDefault="00250F99" w:rsidP="00250F99">
      <w:pPr>
        <w:rPr>
          <w:b/>
        </w:rPr>
      </w:pPr>
    </w:p>
    <w:p w14:paraId="0A0E4F65" w14:textId="706D3829" w:rsidR="00B014F1" w:rsidRDefault="00F80CE2" w:rsidP="00070862">
      <w:pPr>
        <w:numPr>
          <w:ilvl w:val="0"/>
          <w:numId w:val="18"/>
        </w:numPr>
        <w:tabs>
          <w:tab w:val="clear" w:pos="720"/>
          <w:tab w:val="num" w:pos="360"/>
        </w:tabs>
        <w:ind w:left="284" w:hanging="284"/>
        <w:rPr>
          <w:b/>
        </w:rPr>
      </w:pPr>
      <w:r>
        <w:rPr>
          <w:b/>
        </w:rPr>
        <w:t>Rondvraag</w:t>
      </w:r>
    </w:p>
    <w:p w14:paraId="7712C82B" w14:textId="77777777" w:rsidR="00250F99" w:rsidRDefault="00250F99" w:rsidP="00250F99">
      <w:pPr>
        <w:ind w:left="360"/>
        <w:rPr>
          <w:bCs/>
        </w:rPr>
      </w:pPr>
      <w:r w:rsidRPr="00250F99">
        <w:rPr>
          <w:bCs/>
        </w:rPr>
        <w:t>Er zijn geen onderwerpen voor de rondvraag ingebracht.</w:t>
      </w:r>
    </w:p>
    <w:p w14:paraId="43736710" w14:textId="77777777" w:rsidR="00250F99" w:rsidRPr="00250F99" w:rsidRDefault="00250F99" w:rsidP="00250F99">
      <w:pPr>
        <w:ind w:left="360"/>
        <w:rPr>
          <w:bCs/>
        </w:rPr>
      </w:pPr>
    </w:p>
    <w:p w14:paraId="2DB5DE18" w14:textId="74965D06" w:rsidR="00250F99" w:rsidRDefault="00250F99" w:rsidP="00250F99">
      <w:pPr>
        <w:ind w:left="360"/>
        <w:rPr>
          <w:bCs/>
        </w:rPr>
      </w:pPr>
      <w:r w:rsidRPr="00250F99">
        <w:rPr>
          <w:bCs/>
        </w:rPr>
        <w:t xml:space="preserve">De heer </w:t>
      </w:r>
      <w:r>
        <w:rPr>
          <w:bCs/>
        </w:rPr>
        <w:t>Bok</w:t>
      </w:r>
      <w:r w:rsidRPr="00250F99">
        <w:rPr>
          <w:bCs/>
        </w:rPr>
        <w:t xml:space="preserve"> gaf aan dat hij de bijeenkomst als prettig en leerzaam heeft ervaren. Daarbij meldde hij dat binnen de Investeringscommissie eveneens is gesproken over de evaluatie van de commissie.</w:t>
      </w:r>
    </w:p>
    <w:p w14:paraId="730E268F" w14:textId="77777777" w:rsidR="00250F99" w:rsidRDefault="00250F99" w:rsidP="00250F99">
      <w:pPr>
        <w:ind w:left="360"/>
        <w:rPr>
          <w:bCs/>
        </w:rPr>
      </w:pPr>
    </w:p>
    <w:p w14:paraId="17FA8D12" w14:textId="58ECAA46" w:rsidR="00250F99" w:rsidRDefault="00250F99" w:rsidP="00250F99">
      <w:pPr>
        <w:ind w:left="360"/>
        <w:rPr>
          <w:bCs/>
        </w:rPr>
      </w:pPr>
      <w:r w:rsidRPr="00250F99">
        <w:rPr>
          <w:bCs/>
        </w:rPr>
        <w:t>Deloitte</w:t>
      </w:r>
      <w:r>
        <w:rPr>
          <w:bCs/>
        </w:rPr>
        <w:t xml:space="preserve"> wordt</w:t>
      </w:r>
      <w:r w:rsidRPr="00250F99">
        <w:rPr>
          <w:bCs/>
        </w:rPr>
        <w:t xml:space="preserve"> gevraagd terug te blikken op de bijeenkomst. Deloitte gaf aan de bijeenkomst als prettig en leerzaam te hebben ervaren. Daarbij werd opgemerkt dat Noord-Brabant een andere werkwijze hanteert dan bijvoorbeeld </w:t>
      </w:r>
      <w:r>
        <w:rPr>
          <w:bCs/>
        </w:rPr>
        <w:t xml:space="preserve">Provincie </w:t>
      </w:r>
      <w:r w:rsidRPr="00250F99">
        <w:rPr>
          <w:bCs/>
        </w:rPr>
        <w:t>Gelderland</w:t>
      </w:r>
      <w:r>
        <w:rPr>
          <w:bCs/>
        </w:rPr>
        <w:t xml:space="preserve">. </w:t>
      </w:r>
      <w:r w:rsidRPr="00250F99">
        <w:rPr>
          <w:bCs/>
        </w:rPr>
        <w:t xml:space="preserve">Daarnaast werd geconstateerd dat de processen </w:t>
      </w:r>
      <w:r w:rsidRPr="00250F99">
        <w:rPr>
          <w:bCs/>
        </w:rPr>
        <w:lastRenderedPageBreak/>
        <w:t xml:space="preserve">binnen de provincie sterk ambtelijk zijn georganiseerd en dat veel aandacht uitgaat naar mandaten, bevoegdheden en </w:t>
      </w:r>
      <w:proofErr w:type="spellStart"/>
      <w:r w:rsidRPr="00250F99">
        <w:rPr>
          <w:bCs/>
        </w:rPr>
        <w:t>governance</w:t>
      </w:r>
      <w:proofErr w:type="spellEnd"/>
      <w:r w:rsidRPr="00250F99">
        <w:rPr>
          <w:bCs/>
        </w:rPr>
        <w:t>.</w:t>
      </w:r>
    </w:p>
    <w:p w14:paraId="7AE91ED1" w14:textId="77777777" w:rsidR="00250F99" w:rsidRDefault="00250F99" w:rsidP="00250F99">
      <w:pPr>
        <w:ind w:left="360"/>
        <w:rPr>
          <w:bCs/>
        </w:rPr>
      </w:pPr>
    </w:p>
    <w:p w14:paraId="4834D090" w14:textId="77777777" w:rsidR="00250F99" w:rsidRDefault="00250F99" w:rsidP="00250F99">
      <w:pPr>
        <w:ind w:left="360"/>
        <w:rPr>
          <w:bCs/>
        </w:rPr>
      </w:pPr>
      <w:r w:rsidRPr="00250F99">
        <w:rPr>
          <w:bCs/>
        </w:rPr>
        <w:t>Deloitte vroeg aandacht voor de vraag in hoeverre voor Provinciale Staten altijd voldoende duidelijk is hoe de verschillende financiële instrumenten en bevoegdheden zich tot elkaar verhouden. Daarbij werd aangegeven dat het van belang is om nieuwe Statenleden en bestuurders vroegtijdig mee te nemen in onderwerpen als het onderscheid tussen dekken, financieren en investeren, en de daarbij behorende bevoegdheidsverdeling.</w:t>
      </w:r>
    </w:p>
    <w:p w14:paraId="7E0764CF" w14:textId="77777777" w:rsidR="00250F99" w:rsidRDefault="00250F99" w:rsidP="00250F99">
      <w:pPr>
        <w:ind w:left="360"/>
        <w:rPr>
          <w:bCs/>
        </w:rPr>
      </w:pPr>
    </w:p>
    <w:p w14:paraId="5FFD9A61" w14:textId="081DE5D9" w:rsidR="00250F99" w:rsidRPr="00250F99" w:rsidRDefault="00250F99" w:rsidP="00250F99">
      <w:pPr>
        <w:ind w:left="360"/>
        <w:rPr>
          <w:bCs/>
        </w:rPr>
      </w:pPr>
      <w:r w:rsidRPr="00250F99">
        <w:rPr>
          <w:bCs/>
        </w:rPr>
        <w:t>Afgesproken is om deze inzichten en aanbevelingen te betrekken bij de voorbereiding van de nieuwe bestuursperiode. Daarbij werd aangegeven dat de adviezen van Deloitte daarbij goed bruikbaar zijn.</w:t>
      </w:r>
    </w:p>
    <w:p w14:paraId="5E6EA67F" w14:textId="77777777" w:rsidR="00673A30" w:rsidRDefault="00673A30" w:rsidP="00A60E9F">
      <w:pPr>
        <w:rPr>
          <w:b/>
        </w:rPr>
      </w:pPr>
    </w:p>
    <w:p w14:paraId="7B4116C6" w14:textId="77777777" w:rsidR="007D58EA" w:rsidRDefault="007D58EA" w:rsidP="00070862">
      <w:pPr>
        <w:numPr>
          <w:ilvl w:val="0"/>
          <w:numId w:val="18"/>
        </w:numPr>
        <w:tabs>
          <w:tab w:val="clear" w:pos="720"/>
          <w:tab w:val="num" w:pos="360"/>
        </w:tabs>
        <w:ind w:left="284" w:hanging="284"/>
        <w:rPr>
          <w:b/>
        </w:rPr>
      </w:pPr>
      <w:r>
        <w:rPr>
          <w:b/>
        </w:rPr>
        <w:t>Sluiting</w:t>
      </w:r>
    </w:p>
    <w:p w14:paraId="0B13AAE3" w14:textId="77777777" w:rsidR="00FB6AC0" w:rsidRDefault="00FB6AC0" w:rsidP="00B82F4A">
      <w:pPr>
        <w:rPr>
          <w:u w:val="single"/>
        </w:rPr>
      </w:pPr>
    </w:p>
    <w:p w14:paraId="2F3FC2C9" w14:textId="2046CF3A" w:rsidR="008E4979" w:rsidRPr="00844E0F" w:rsidRDefault="00F80CE2" w:rsidP="00844E0F">
      <w:pPr>
        <w:rPr>
          <w:iCs/>
        </w:rPr>
      </w:pPr>
      <w:r>
        <w:rPr>
          <w:iCs/>
          <w:u w:val="single"/>
        </w:rPr>
        <w:t>Volgende vergaderingen in 202</w:t>
      </w:r>
      <w:r w:rsidR="00404419">
        <w:rPr>
          <w:iCs/>
          <w:u w:val="single"/>
        </w:rPr>
        <w:t>6</w:t>
      </w:r>
      <w:r>
        <w:rPr>
          <w:iCs/>
          <w:u w:val="single"/>
        </w:rPr>
        <w:t>:</w:t>
      </w:r>
      <w:r w:rsidR="00CE5594" w:rsidRPr="00844E0F">
        <w:rPr>
          <w:iCs/>
        </w:rPr>
        <w:tab/>
      </w:r>
      <w:r w:rsidR="00CE5594" w:rsidRPr="00844E0F">
        <w:rPr>
          <w:iCs/>
        </w:rPr>
        <w:tab/>
      </w:r>
    </w:p>
    <w:p w14:paraId="45124B89" w14:textId="5D93FC96" w:rsidR="00AD302A" w:rsidRDefault="00AD139A" w:rsidP="00070862">
      <w:pPr>
        <w:pStyle w:val="Lijstalinea"/>
        <w:numPr>
          <w:ilvl w:val="0"/>
          <w:numId w:val="20"/>
        </w:numPr>
        <w:ind w:left="284" w:hanging="284"/>
        <w:rPr>
          <w:iCs/>
        </w:rPr>
      </w:pPr>
      <w:r>
        <w:rPr>
          <w:iCs/>
        </w:rPr>
        <w:t>D</w:t>
      </w:r>
      <w:r w:rsidR="00AD302A">
        <w:rPr>
          <w:iCs/>
        </w:rPr>
        <w:t>onderdag 3 september (regulier)</w:t>
      </w:r>
      <w:r w:rsidR="00AD302A">
        <w:rPr>
          <w:iCs/>
        </w:rPr>
        <w:tab/>
      </w:r>
      <w:r w:rsidR="00AD302A">
        <w:rPr>
          <w:iCs/>
        </w:rPr>
        <w:tab/>
      </w:r>
      <w:r w:rsidR="00AD302A">
        <w:rPr>
          <w:iCs/>
        </w:rPr>
        <w:tab/>
      </w:r>
      <w:r>
        <w:rPr>
          <w:iCs/>
        </w:rPr>
        <w:t>13.00</w:t>
      </w:r>
      <w:r w:rsidR="00AD302A">
        <w:rPr>
          <w:iCs/>
        </w:rPr>
        <w:t xml:space="preserve"> – 1</w:t>
      </w:r>
      <w:r>
        <w:rPr>
          <w:iCs/>
        </w:rPr>
        <w:t>4</w:t>
      </w:r>
      <w:r w:rsidR="00AD302A">
        <w:rPr>
          <w:iCs/>
        </w:rPr>
        <w:t>.30 uur Fysiek in PH</w:t>
      </w:r>
    </w:p>
    <w:p w14:paraId="0D848D8D" w14:textId="6546B135" w:rsidR="00AD139A" w:rsidRDefault="00AD139A" w:rsidP="00070862">
      <w:pPr>
        <w:pStyle w:val="Lijstalinea"/>
        <w:numPr>
          <w:ilvl w:val="0"/>
          <w:numId w:val="20"/>
        </w:numPr>
        <w:ind w:left="284" w:hanging="284"/>
        <w:rPr>
          <w:iCs/>
        </w:rPr>
      </w:pPr>
      <w:r>
        <w:rPr>
          <w:iCs/>
        </w:rPr>
        <w:t>Do</w:t>
      </w:r>
      <w:r w:rsidR="00107737">
        <w:rPr>
          <w:iCs/>
        </w:rPr>
        <w:t>nderdag 15 oktober (voortgang projecten)</w:t>
      </w:r>
      <w:r w:rsidR="00107737">
        <w:rPr>
          <w:iCs/>
        </w:rPr>
        <w:tab/>
        <w:t>15.00 – 16.00 uur Fysiek in PH</w:t>
      </w:r>
    </w:p>
    <w:p w14:paraId="2F51885E" w14:textId="0A5AC3F9" w:rsidR="00107737" w:rsidRPr="008E4979" w:rsidRDefault="001E5C84" w:rsidP="00070862">
      <w:pPr>
        <w:pStyle w:val="Lijstalinea"/>
        <w:numPr>
          <w:ilvl w:val="0"/>
          <w:numId w:val="20"/>
        </w:numPr>
        <w:ind w:left="284" w:hanging="284"/>
        <w:rPr>
          <w:iCs/>
        </w:rPr>
      </w:pPr>
      <w:r>
        <w:rPr>
          <w:iCs/>
        </w:rPr>
        <w:t>Donderdag 19 november (regulier)</w:t>
      </w:r>
      <w:r>
        <w:rPr>
          <w:iCs/>
        </w:rPr>
        <w:tab/>
      </w:r>
      <w:r>
        <w:rPr>
          <w:iCs/>
        </w:rPr>
        <w:tab/>
      </w:r>
      <w:r>
        <w:rPr>
          <w:iCs/>
        </w:rPr>
        <w:tab/>
        <w:t>12.30 – 14.00 uur Fysiek in PH</w:t>
      </w:r>
    </w:p>
    <w:p w14:paraId="3C2073E8" w14:textId="77777777" w:rsidR="00B82F4A" w:rsidRPr="006D466E" w:rsidRDefault="00B82F4A" w:rsidP="00B82F4A">
      <w:pPr>
        <w:rPr>
          <w:iCs/>
        </w:rPr>
      </w:pPr>
    </w:p>
    <w:sectPr w:rsidR="00B82F4A" w:rsidRPr="006D466E" w:rsidSect="00AB6911">
      <w:footerReference w:type="default" r:id="rId11"/>
      <w:headerReference w:type="first" r:id="rId12"/>
      <w:foot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CDEE5" w14:textId="77777777" w:rsidR="007B5B65" w:rsidRDefault="007B5B65">
      <w:pPr>
        <w:spacing w:line="240" w:lineRule="auto"/>
      </w:pPr>
      <w:r>
        <w:separator/>
      </w:r>
    </w:p>
  </w:endnote>
  <w:endnote w:type="continuationSeparator" w:id="0">
    <w:p w14:paraId="6D27783E" w14:textId="77777777" w:rsidR="007B5B65" w:rsidRDefault="007B5B65">
      <w:pPr>
        <w:spacing w:line="240" w:lineRule="auto"/>
      </w:pPr>
      <w:r>
        <w:continuationSeparator/>
      </w:r>
    </w:p>
  </w:endnote>
  <w:endnote w:type="continuationNotice" w:id="1">
    <w:p w14:paraId="2170E448" w14:textId="77777777" w:rsidR="007B5B65" w:rsidRDefault="007B5B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MT">
    <w:panose1 w:val="02020502070401020303"/>
    <w:charset w:val="00"/>
    <w:family w:val="roman"/>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EB37" w14:textId="67D2CF01" w:rsidR="009D7C7C" w:rsidRPr="00A56816" w:rsidRDefault="007D58EA" w:rsidP="00A56816">
    <w:pPr>
      <w:pStyle w:val="Voettekst"/>
      <w:pBdr>
        <w:top w:val="nil"/>
        <w:left w:val="nil"/>
        <w:bottom w:val="nil"/>
        <w:right w:val="nil"/>
        <w:between w:val="nil"/>
        <w:bar w:val="nil"/>
      </w:pBdr>
    </w:pPr>
    <w:r>
      <w:t xml:space="preserve">Documentnummer: </w:t>
    </w:r>
    <w:r>
      <w:tab/>
    </w:r>
    <w:r>
      <w:tab/>
    </w:r>
    <w:r>
      <w:rPr>
        <w:rStyle w:val="Paginanummer"/>
      </w:rPr>
      <w:fldChar w:fldCharType="begin"/>
    </w:r>
    <w:r>
      <w:rPr>
        <w:rStyle w:val="Paginanummer"/>
      </w:rPr>
      <w:instrText xml:space="preserve"> PAGE </w:instrText>
    </w:r>
    <w:r>
      <w:rPr>
        <w:rStyle w:val="Paginanummer"/>
      </w:rPr>
      <w:fldChar w:fldCharType="separate"/>
    </w:r>
    <w:r w:rsidR="00DA04E9">
      <w:rPr>
        <w:rStyle w:val="Paginanummer"/>
        <w:noProof/>
      </w:rPr>
      <w:t>2</w:t>
    </w:r>
    <w:r>
      <w:rPr>
        <w:rStyle w:val="Paginanummer"/>
      </w:rPr>
      <w:fldChar w:fldCharType="end"/>
    </w:r>
    <w:r>
      <w:rPr>
        <w:rStyle w:val="Paginanummer"/>
      </w:rPr>
      <w:t>/</w:t>
    </w:r>
    <w:r>
      <w:rPr>
        <w:rStyle w:val="Paginanummer"/>
      </w:rPr>
      <w:fldChar w:fldCharType="begin"/>
    </w:r>
    <w:r>
      <w:rPr>
        <w:rStyle w:val="Paginanummer"/>
      </w:rPr>
      <w:instrText xml:space="preserve"> SECTIONPAGES   \* MERGEFORMAT </w:instrText>
    </w:r>
    <w:r>
      <w:rPr>
        <w:rStyle w:val="Paginanummer"/>
      </w:rPr>
      <w:fldChar w:fldCharType="separate"/>
    </w:r>
    <w:r w:rsidR="000E318D">
      <w:rPr>
        <w:rStyle w:val="Paginanummer"/>
        <w:noProof/>
      </w:rPr>
      <w:t>4</w:t>
    </w:r>
    <w:r>
      <w:rPr>
        <w:rStyle w:val="Pagina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CA1D" w14:textId="77777777" w:rsidR="009D7C7C" w:rsidRDefault="007D58EA">
    <w:pPr>
      <w:pStyle w:val="Voettekst"/>
    </w:pPr>
    <w:r>
      <w:t xml:space="preserve">Documentnummer: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3622C" w14:textId="77777777" w:rsidR="007B5B65" w:rsidRDefault="007B5B65">
      <w:pPr>
        <w:spacing w:line="240" w:lineRule="auto"/>
      </w:pPr>
      <w:r>
        <w:separator/>
      </w:r>
    </w:p>
  </w:footnote>
  <w:footnote w:type="continuationSeparator" w:id="0">
    <w:p w14:paraId="37BFAE7E" w14:textId="77777777" w:rsidR="007B5B65" w:rsidRDefault="007B5B65">
      <w:pPr>
        <w:spacing w:line="240" w:lineRule="auto"/>
      </w:pPr>
      <w:r>
        <w:continuationSeparator/>
      </w:r>
    </w:p>
  </w:footnote>
  <w:footnote w:type="continuationNotice" w:id="1">
    <w:p w14:paraId="45ADCDDB" w14:textId="77777777" w:rsidR="007B5B65" w:rsidRDefault="007B5B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rightFromText="142" w:vertAnchor="page" w:horzAnchor="page" w:tblpX="398" w:tblpY="398"/>
      <w:tblOverlap w:val="never"/>
      <w:tblW w:w="1077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773"/>
    </w:tblGrid>
    <w:tr w:rsidR="00305486" w14:paraId="6B38994D" w14:textId="77777777" w:rsidTr="00D721B0">
      <w:trPr>
        <w:cnfStyle w:val="100000000000" w:firstRow="1" w:lastRow="0" w:firstColumn="0" w:lastColumn="0" w:oddVBand="0" w:evenVBand="0" w:oddHBand="0" w:evenHBand="0" w:firstRowFirstColumn="0" w:firstRowLastColumn="0" w:lastRowFirstColumn="0" w:lastRowLastColumn="0"/>
      </w:trPr>
      <w:tc>
        <w:tcPr>
          <w:tcW w:w="10773" w:type="dxa"/>
        </w:tcPr>
        <w:p w14:paraId="30B6ADDC" w14:textId="77777777" w:rsidR="009D7C7C" w:rsidRDefault="007D58EA" w:rsidP="00D721B0">
          <w:r>
            <w:rPr>
              <w:noProof/>
            </w:rPr>
            <w:drawing>
              <wp:inline distT="0" distB="0" distL="0" distR="0" wp14:anchorId="4E7368DF" wp14:editId="3C8B1398">
                <wp:extent cx="2012400" cy="2520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biLevel thresh="50000"/>
                          <a:extLst>
                            <a:ext uri="{BEBA8EAE-BF5A-486C-A8C5-ECC9F3942E4B}">
                              <a14:imgProps xmlns:a14="http://schemas.microsoft.com/office/drawing/2010/main">
                                <a14:imgLayer>
                                  <a14:imgEffect>
                                    <a14:colorTemperature colorTemp="47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012400" cy="252000"/>
                        </a:xfrm>
                        <a:prstGeom prst="rect">
                          <a:avLst/>
                        </a:prstGeom>
                        <a:noFill/>
                        <a:ln>
                          <a:noFill/>
                        </a:ln>
                      </pic:spPr>
                    </pic:pic>
                  </a:graphicData>
                </a:graphic>
              </wp:inline>
            </w:drawing>
          </w:r>
        </w:p>
      </w:tc>
    </w:tr>
  </w:tbl>
  <w:p w14:paraId="755E0AA4" w14:textId="77777777" w:rsidR="009D7C7C" w:rsidRDefault="009D7C7C" w:rsidP="001759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B85940"/>
    <w:multiLevelType w:val="multilevel"/>
    <w:tmpl w:val="44D8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0B6A0B"/>
    <w:multiLevelType w:val="hybridMultilevel"/>
    <w:tmpl w:val="9182A8E8"/>
    <w:lvl w:ilvl="0" w:tplc="975C1E9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5" w15:restartNumberingAfterBreak="0">
    <w:nsid w:val="130A1EF9"/>
    <w:multiLevelType w:val="hybridMultilevel"/>
    <w:tmpl w:val="E5A46254"/>
    <w:lvl w:ilvl="0" w:tplc="0E58C462">
      <w:start w:val="1"/>
      <w:numFmt w:val="bullet"/>
      <w:lvlText w:val=""/>
      <w:lvlJc w:val="left"/>
      <w:pPr>
        <w:tabs>
          <w:tab w:val="num" w:pos="1440"/>
        </w:tabs>
        <w:ind w:left="1440" w:hanging="360"/>
      </w:pPr>
      <w:rPr>
        <w:rFonts w:ascii="Symbol" w:hAnsi="Symbol" w:hint="default"/>
        <w:i w:val="0"/>
        <w:u w:val="none"/>
      </w:rPr>
    </w:lvl>
    <w:lvl w:ilvl="1" w:tplc="04130003" w:tentative="1">
      <w:start w:val="1"/>
      <w:numFmt w:val="bullet"/>
      <w:lvlText w:val="o"/>
      <w:lvlJc w:val="left"/>
      <w:pPr>
        <w:tabs>
          <w:tab w:val="num" w:pos="1440"/>
        </w:tabs>
        <w:ind w:left="1440" w:hanging="360"/>
      </w:pPr>
      <w:rPr>
        <w:rFonts w:ascii="Courier New" w:hAnsi="Courier New" w:cs="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Wingdings"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Wingdings"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1E99"/>
    <w:multiLevelType w:val="multilevel"/>
    <w:tmpl w:val="3932B52E"/>
    <w:numStyleLink w:val="PNB123-lijst"/>
  </w:abstractNum>
  <w:abstractNum w:abstractNumId="17" w15:restartNumberingAfterBreak="0">
    <w:nsid w:val="14DD0E28"/>
    <w:multiLevelType w:val="hybridMultilevel"/>
    <w:tmpl w:val="46FCB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83E3548"/>
    <w:multiLevelType w:val="hybridMultilevel"/>
    <w:tmpl w:val="577230CA"/>
    <w:lvl w:ilvl="0" w:tplc="133655D6">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E93371B"/>
    <w:multiLevelType w:val="hybridMultilevel"/>
    <w:tmpl w:val="93722624"/>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0"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9C52942"/>
    <w:multiLevelType w:val="multilevel"/>
    <w:tmpl w:val="1DDCE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6726EA"/>
    <w:multiLevelType w:val="hybridMultilevel"/>
    <w:tmpl w:val="22CE9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B0749AF"/>
    <w:multiLevelType w:val="multilevel"/>
    <w:tmpl w:val="2A8800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B04960"/>
    <w:multiLevelType w:val="hybridMultilevel"/>
    <w:tmpl w:val="6742C68A"/>
    <w:lvl w:ilvl="0" w:tplc="082E05F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6" w15:restartNumberingAfterBreak="0">
    <w:nsid w:val="42725C83"/>
    <w:multiLevelType w:val="hybridMultilevel"/>
    <w:tmpl w:val="54C2F4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4390490"/>
    <w:multiLevelType w:val="hybridMultilevel"/>
    <w:tmpl w:val="8D5A1BD4"/>
    <w:lvl w:ilvl="0" w:tplc="DB086686">
      <w:numFmt w:val="bullet"/>
      <w:lvlText w:val="-"/>
      <w:lvlJc w:val="left"/>
      <w:pPr>
        <w:ind w:left="644" w:hanging="360"/>
      </w:pPr>
      <w:rPr>
        <w:rFonts w:ascii="Futura Book" w:eastAsia="Times New Roman" w:hAnsi="Futura Book"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8" w15:restartNumberingAfterBreak="0">
    <w:nsid w:val="47E32157"/>
    <w:multiLevelType w:val="multilevel"/>
    <w:tmpl w:val="63AA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30160F"/>
    <w:multiLevelType w:val="multilevel"/>
    <w:tmpl w:val="DCF2B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133530"/>
    <w:multiLevelType w:val="multilevel"/>
    <w:tmpl w:val="4F8C1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E64200"/>
    <w:multiLevelType w:val="multilevel"/>
    <w:tmpl w:val="FC04E50C"/>
    <w:numStyleLink w:val="PNBabclijst"/>
  </w:abstractNum>
  <w:abstractNum w:abstractNumId="32" w15:restartNumberingAfterBreak="0">
    <w:nsid w:val="6C791B6E"/>
    <w:multiLevelType w:val="hybridMultilevel"/>
    <w:tmpl w:val="59EC118A"/>
    <w:lvl w:ilvl="0" w:tplc="C34CC0FE">
      <w:numFmt w:val="bullet"/>
      <w:lvlText w:val="-"/>
      <w:lvlJc w:val="left"/>
      <w:pPr>
        <w:ind w:left="644" w:hanging="360"/>
      </w:pPr>
      <w:rPr>
        <w:rFonts w:ascii="Futura Book" w:eastAsia="Futura Book" w:hAnsi="Futura Book" w:cs="Futura Book"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3" w15:restartNumberingAfterBreak="0">
    <w:nsid w:val="762B10D7"/>
    <w:multiLevelType w:val="hybridMultilevel"/>
    <w:tmpl w:val="2018C326"/>
    <w:lvl w:ilvl="0" w:tplc="3D3C8374">
      <w:start w:val="1"/>
      <w:numFmt w:val="decimal"/>
      <w:lvlText w:val="%1."/>
      <w:lvlJc w:val="left"/>
      <w:pPr>
        <w:tabs>
          <w:tab w:val="num" w:pos="720"/>
        </w:tabs>
        <w:ind w:left="720" w:hanging="360"/>
      </w:pPr>
      <w:rPr>
        <w:b/>
        <w:sz w:val="18"/>
        <w:szCs w:val="18"/>
      </w:rPr>
    </w:lvl>
    <w:lvl w:ilvl="1" w:tplc="5798D58E">
      <w:start w:val="1"/>
      <w:numFmt w:val="lowerLetter"/>
      <w:lvlText w:val="%2."/>
      <w:lvlJc w:val="left"/>
      <w:pPr>
        <w:tabs>
          <w:tab w:val="num" w:pos="1440"/>
        </w:tabs>
        <w:ind w:left="1440" w:hanging="360"/>
      </w:pPr>
    </w:lvl>
    <w:lvl w:ilvl="2" w:tplc="62BC1C52">
      <w:start w:val="1"/>
      <w:numFmt w:val="lowerRoman"/>
      <w:lvlText w:val="%3."/>
      <w:lvlJc w:val="right"/>
      <w:pPr>
        <w:tabs>
          <w:tab w:val="num" w:pos="2160"/>
        </w:tabs>
        <w:ind w:left="2160" w:hanging="180"/>
      </w:pPr>
    </w:lvl>
    <w:lvl w:ilvl="3" w:tplc="C8700ACE">
      <w:start w:val="1"/>
      <w:numFmt w:val="decimal"/>
      <w:lvlText w:val="%4."/>
      <w:lvlJc w:val="left"/>
      <w:pPr>
        <w:tabs>
          <w:tab w:val="num" w:pos="2880"/>
        </w:tabs>
        <w:ind w:left="2880" w:hanging="360"/>
      </w:pPr>
    </w:lvl>
    <w:lvl w:ilvl="4" w:tplc="FFE46618" w:tentative="1">
      <w:start w:val="1"/>
      <w:numFmt w:val="lowerLetter"/>
      <w:lvlText w:val="%5."/>
      <w:lvlJc w:val="left"/>
      <w:pPr>
        <w:tabs>
          <w:tab w:val="num" w:pos="3600"/>
        </w:tabs>
        <w:ind w:left="3600" w:hanging="360"/>
      </w:pPr>
    </w:lvl>
    <w:lvl w:ilvl="5" w:tplc="37C02B84" w:tentative="1">
      <w:start w:val="1"/>
      <w:numFmt w:val="lowerRoman"/>
      <w:lvlText w:val="%6."/>
      <w:lvlJc w:val="right"/>
      <w:pPr>
        <w:tabs>
          <w:tab w:val="num" w:pos="4320"/>
        </w:tabs>
        <w:ind w:left="4320" w:hanging="180"/>
      </w:pPr>
    </w:lvl>
    <w:lvl w:ilvl="6" w:tplc="B57E4C3A" w:tentative="1">
      <w:start w:val="1"/>
      <w:numFmt w:val="decimal"/>
      <w:lvlText w:val="%7."/>
      <w:lvlJc w:val="left"/>
      <w:pPr>
        <w:tabs>
          <w:tab w:val="num" w:pos="5040"/>
        </w:tabs>
        <w:ind w:left="5040" w:hanging="360"/>
      </w:pPr>
    </w:lvl>
    <w:lvl w:ilvl="7" w:tplc="B18CE758" w:tentative="1">
      <w:start w:val="1"/>
      <w:numFmt w:val="lowerLetter"/>
      <w:lvlText w:val="%8."/>
      <w:lvlJc w:val="left"/>
      <w:pPr>
        <w:tabs>
          <w:tab w:val="num" w:pos="5760"/>
        </w:tabs>
        <w:ind w:left="5760" w:hanging="360"/>
      </w:pPr>
    </w:lvl>
    <w:lvl w:ilvl="8" w:tplc="9C8E6A0C" w:tentative="1">
      <w:start w:val="1"/>
      <w:numFmt w:val="lowerRoman"/>
      <w:lvlText w:val="%9."/>
      <w:lvlJc w:val="right"/>
      <w:pPr>
        <w:tabs>
          <w:tab w:val="num" w:pos="6480"/>
        </w:tabs>
        <w:ind w:left="6480" w:hanging="180"/>
      </w:pPr>
    </w:lvl>
  </w:abstractNum>
  <w:num w:numId="1" w16cid:durableId="798257262">
    <w:abstractNumId w:val="9"/>
  </w:num>
  <w:num w:numId="2" w16cid:durableId="446699919">
    <w:abstractNumId w:val="7"/>
  </w:num>
  <w:num w:numId="3" w16cid:durableId="951281709">
    <w:abstractNumId w:val="6"/>
  </w:num>
  <w:num w:numId="4" w16cid:durableId="33778723">
    <w:abstractNumId w:val="5"/>
  </w:num>
  <w:num w:numId="5" w16cid:durableId="1446269159">
    <w:abstractNumId w:val="4"/>
  </w:num>
  <w:num w:numId="6" w16cid:durableId="894510228">
    <w:abstractNumId w:val="8"/>
  </w:num>
  <w:num w:numId="7" w16cid:durableId="720790699">
    <w:abstractNumId w:val="3"/>
  </w:num>
  <w:num w:numId="8" w16cid:durableId="2084907472">
    <w:abstractNumId w:val="2"/>
  </w:num>
  <w:num w:numId="9" w16cid:durableId="1444761119">
    <w:abstractNumId w:val="1"/>
  </w:num>
  <w:num w:numId="10" w16cid:durableId="234170322">
    <w:abstractNumId w:val="0"/>
  </w:num>
  <w:num w:numId="11" w16cid:durableId="1734547885">
    <w:abstractNumId w:val="11"/>
  </w:num>
  <w:num w:numId="12" w16cid:durableId="800226589">
    <w:abstractNumId w:val="23"/>
  </w:num>
  <w:num w:numId="13" w16cid:durableId="1553149553">
    <w:abstractNumId w:val="10"/>
  </w:num>
  <w:num w:numId="14" w16cid:durableId="348725264">
    <w:abstractNumId w:val="20"/>
  </w:num>
  <w:num w:numId="15" w16cid:durableId="457258802">
    <w:abstractNumId w:val="31"/>
  </w:num>
  <w:num w:numId="16" w16cid:durableId="1805276228">
    <w:abstractNumId w:val="13"/>
  </w:num>
  <w:num w:numId="17" w16cid:durableId="1537082859">
    <w:abstractNumId w:val="16"/>
  </w:num>
  <w:num w:numId="18" w16cid:durableId="575093338">
    <w:abstractNumId w:val="33"/>
  </w:num>
  <w:num w:numId="19" w16cid:durableId="1351106600">
    <w:abstractNumId w:val="25"/>
  </w:num>
  <w:num w:numId="20" w16cid:durableId="2142186598">
    <w:abstractNumId w:val="27"/>
  </w:num>
  <w:num w:numId="21" w16cid:durableId="205946004">
    <w:abstractNumId w:val="18"/>
  </w:num>
  <w:num w:numId="22" w16cid:durableId="1981154739">
    <w:abstractNumId w:val="14"/>
  </w:num>
  <w:num w:numId="23" w16cid:durableId="1539708546">
    <w:abstractNumId w:val="26"/>
  </w:num>
  <w:num w:numId="24" w16cid:durableId="460149752">
    <w:abstractNumId w:val="19"/>
  </w:num>
  <w:num w:numId="25" w16cid:durableId="510604516">
    <w:abstractNumId w:val="17"/>
  </w:num>
  <w:num w:numId="26" w16cid:durableId="1372270352">
    <w:abstractNumId w:val="22"/>
  </w:num>
  <w:num w:numId="27" w16cid:durableId="250628848">
    <w:abstractNumId w:val="15"/>
  </w:num>
  <w:num w:numId="28" w16cid:durableId="896361173">
    <w:abstractNumId w:val="32"/>
  </w:num>
  <w:num w:numId="29" w16cid:durableId="1806896781">
    <w:abstractNumId w:val="21"/>
  </w:num>
  <w:num w:numId="30" w16cid:durableId="136722713">
    <w:abstractNumId w:val="30"/>
  </w:num>
  <w:num w:numId="31" w16cid:durableId="2046051944">
    <w:abstractNumId w:val="24"/>
  </w:num>
  <w:num w:numId="32" w16cid:durableId="1806848248">
    <w:abstractNumId w:val="29"/>
  </w:num>
  <w:num w:numId="33" w16cid:durableId="1198817009">
    <w:abstractNumId w:val="12"/>
  </w:num>
  <w:num w:numId="34" w16cid:durableId="533229715">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hyphenationZone w:val="425"/>
  <w:drawingGridHorizontalSpacing w:val="10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486"/>
    <w:rsid w:val="00000FAC"/>
    <w:rsid w:val="00002CF0"/>
    <w:rsid w:val="00004C24"/>
    <w:rsid w:val="0001433E"/>
    <w:rsid w:val="00014C63"/>
    <w:rsid w:val="00016F6F"/>
    <w:rsid w:val="000174C9"/>
    <w:rsid w:val="00022A59"/>
    <w:rsid w:val="000246F2"/>
    <w:rsid w:val="00026F06"/>
    <w:rsid w:val="0003307B"/>
    <w:rsid w:val="00036E4D"/>
    <w:rsid w:val="000431C1"/>
    <w:rsid w:val="00044D8A"/>
    <w:rsid w:val="000469BD"/>
    <w:rsid w:val="0005109A"/>
    <w:rsid w:val="00055AA8"/>
    <w:rsid w:val="0005617E"/>
    <w:rsid w:val="0006075E"/>
    <w:rsid w:val="00067438"/>
    <w:rsid w:val="00070862"/>
    <w:rsid w:val="00075FB8"/>
    <w:rsid w:val="00077139"/>
    <w:rsid w:val="00077256"/>
    <w:rsid w:val="00081C7C"/>
    <w:rsid w:val="00084C7A"/>
    <w:rsid w:val="000870F2"/>
    <w:rsid w:val="00094296"/>
    <w:rsid w:val="000A5574"/>
    <w:rsid w:val="000A61FA"/>
    <w:rsid w:val="000A67FC"/>
    <w:rsid w:val="000A6FB1"/>
    <w:rsid w:val="000B73C8"/>
    <w:rsid w:val="000C1F3A"/>
    <w:rsid w:val="000C1FC1"/>
    <w:rsid w:val="000C2773"/>
    <w:rsid w:val="000D16CE"/>
    <w:rsid w:val="000E262A"/>
    <w:rsid w:val="000E2D04"/>
    <w:rsid w:val="000E318D"/>
    <w:rsid w:val="000E437D"/>
    <w:rsid w:val="000E5670"/>
    <w:rsid w:val="000E5E68"/>
    <w:rsid w:val="000E6517"/>
    <w:rsid w:val="000E7E39"/>
    <w:rsid w:val="000F209F"/>
    <w:rsid w:val="000F6E49"/>
    <w:rsid w:val="00103AEF"/>
    <w:rsid w:val="001044F7"/>
    <w:rsid w:val="00107737"/>
    <w:rsid w:val="00110C5A"/>
    <w:rsid w:val="00111EA5"/>
    <w:rsid w:val="001130CB"/>
    <w:rsid w:val="00116798"/>
    <w:rsid w:val="00121A64"/>
    <w:rsid w:val="0012653E"/>
    <w:rsid w:val="0013440B"/>
    <w:rsid w:val="00135D73"/>
    <w:rsid w:val="00142EF2"/>
    <w:rsid w:val="0014433C"/>
    <w:rsid w:val="001455C9"/>
    <w:rsid w:val="001515DD"/>
    <w:rsid w:val="0015192B"/>
    <w:rsid w:val="00157760"/>
    <w:rsid w:val="00161075"/>
    <w:rsid w:val="00164691"/>
    <w:rsid w:val="00166769"/>
    <w:rsid w:val="001702E3"/>
    <w:rsid w:val="00170ADA"/>
    <w:rsid w:val="001733FF"/>
    <w:rsid w:val="001766C6"/>
    <w:rsid w:val="00183126"/>
    <w:rsid w:val="00185534"/>
    <w:rsid w:val="00187830"/>
    <w:rsid w:val="00191524"/>
    <w:rsid w:val="00191FAB"/>
    <w:rsid w:val="00196663"/>
    <w:rsid w:val="001A583B"/>
    <w:rsid w:val="001A6C30"/>
    <w:rsid w:val="001B2ACA"/>
    <w:rsid w:val="001B757F"/>
    <w:rsid w:val="001C0451"/>
    <w:rsid w:val="001C05DA"/>
    <w:rsid w:val="001C3306"/>
    <w:rsid w:val="001C5C68"/>
    <w:rsid w:val="001C745B"/>
    <w:rsid w:val="001D307C"/>
    <w:rsid w:val="001D4A63"/>
    <w:rsid w:val="001E3583"/>
    <w:rsid w:val="001E4125"/>
    <w:rsid w:val="001E5C84"/>
    <w:rsid w:val="001E6782"/>
    <w:rsid w:val="001E78CF"/>
    <w:rsid w:val="001F27D5"/>
    <w:rsid w:val="001F2D7A"/>
    <w:rsid w:val="001F4194"/>
    <w:rsid w:val="0021093E"/>
    <w:rsid w:val="00210984"/>
    <w:rsid w:val="0021316D"/>
    <w:rsid w:val="002214EC"/>
    <w:rsid w:val="00221A3D"/>
    <w:rsid w:val="002256BD"/>
    <w:rsid w:val="00232E88"/>
    <w:rsid w:val="00241B7D"/>
    <w:rsid w:val="002431E0"/>
    <w:rsid w:val="00250ACC"/>
    <w:rsid w:val="00250F99"/>
    <w:rsid w:val="0025166D"/>
    <w:rsid w:val="002522EF"/>
    <w:rsid w:val="00256427"/>
    <w:rsid w:val="00260FF0"/>
    <w:rsid w:val="00263547"/>
    <w:rsid w:val="002667D3"/>
    <w:rsid w:val="002767E8"/>
    <w:rsid w:val="00283DBF"/>
    <w:rsid w:val="002859A3"/>
    <w:rsid w:val="00295039"/>
    <w:rsid w:val="00297005"/>
    <w:rsid w:val="002A09F0"/>
    <w:rsid w:val="002A29B7"/>
    <w:rsid w:val="002A51F9"/>
    <w:rsid w:val="002A6403"/>
    <w:rsid w:val="002A64B7"/>
    <w:rsid w:val="002B0D3E"/>
    <w:rsid w:val="002B14C3"/>
    <w:rsid w:val="002B1AB7"/>
    <w:rsid w:val="002B7200"/>
    <w:rsid w:val="002C1185"/>
    <w:rsid w:val="002C729E"/>
    <w:rsid w:val="002D0239"/>
    <w:rsid w:val="002D0DB4"/>
    <w:rsid w:val="002D1D33"/>
    <w:rsid w:val="002D4D3F"/>
    <w:rsid w:val="002D766C"/>
    <w:rsid w:val="002D76AE"/>
    <w:rsid w:val="002E25B8"/>
    <w:rsid w:val="002E3F90"/>
    <w:rsid w:val="002E6690"/>
    <w:rsid w:val="002F03A5"/>
    <w:rsid w:val="002F050D"/>
    <w:rsid w:val="002F2A23"/>
    <w:rsid w:val="002F2FEC"/>
    <w:rsid w:val="002F446B"/>
    <w:rsid w:val="002F4C8D"/>
    <w:rsid w:val="00305486"/>
    <w:rsid w:val="003101E5"/>
    <w:rsid w:val="003113D9"/>
    <w:rsid w:val="00311451"/>
    <w:rsid w:val="00313FD8"/>
    <w:rsid w:val="00321D38"/>
    <w:rsid w:val="00324412"/>
    <w:rsid w:val="00332080"/>
    <w:rsid w:val="00332EA0"/>
    <w:rsid w:val="003335FA"/>
    <w:rsid w:val="00333E61"/>
    <w:rsid w:val="00334FB0"/>
    <w:rsid w:val="00335B03"/>
    <w:rsid w:val="00336C33"/>
    <w:rsid w:val="003442B7"/>
    <w:rsid w:val="00355147"/>
    <w:rsid w:val="0035591C"/>
    <w:rsid w:val="00365CA6"/>
    <w:rsid w:val="00371824"/>
    <w:rsid w:val="00380974"/>
    <w:rsid w:val="00384608"/>
    <w:rsid w:val="00393B8D"/>
    <w:rsid w:val="00396906"/>
    <w:rsid w:val="00396A11"/>
    <w:rsid w:val="003A226F"/>
    <w:rsid w:val="003A2BD4"/>
    <w:rsid w:val="003A31CF"/>
    <w:rsid w:val="003A5965"/>
    <w:rsid w:val="003A69B5"/>
    <w:rsid w:val="003B2BE6"/>
    <w:rsid w:val="003B3824"/>
    <w:rsid w:val="003B643C"/>
    <w:rsid w:val="003C0031"/>
    <w:rsid w:val="003C10B7"/>
    <w:rsid w:val="003C2A80"/>
    <w:rsid w:val="003C3F91"/>
    <w:rsid w:val="003D151F"/>
    <w:rsid w:val="003D53EA"/>
    <w:rsid w:val="003D56B2"/>
    <w:rsid w:val="003D6F65"/>
    <w:rsid w:val="003E127C"/>
    <w:rsid w:val="003E6D86"/>
    <w:rsid w:val="003F12F7"/>
    <w:rsid w:val="003F53A0"/>
    <w:rsid w:val="003F5BD4"/>
    <w:rsid w:val="003F7422"/>
    <w:rsid w:val="003F7918"/>
    <w:rsid w:val="00400AE0"/>
    <w:rsid w:val="00404419"/>
    <w:rsid w:val="00406981"/>
    <w:rsid w:val="00414CEC"/>
    <w:rsid w:val="00415098"/>
    <w:rsid w:val="00415E8C"/>
    <w:rsid w:val="004170B6"/>
    <w:rsid w:val="004173EE"/>
    <w:rsid w:val="00417CE8"/>
    <w:rsid w:val="00423705"/>
    <w:rsid w:val="00423E2E"/>
    <w:rsid w:val="00424C09"/>
    <w:rsid w:val="00425C74"/>
    <w:rsid w:val="004345CD"/>
    <w:rsid w:val="004377FA"/>
    <w:rsid w:val="00437EBF"/>
    <w:rsid w:val="004403B2"/>
    <w:rsid w:val="00440A5F"/>
    <w:rsid w:val="00441D0E"/>
    <w:rsid w:val="004420EF"/>
    <w:rsid w:val="0044269D"/>
    <w:rsid w:val="00444F5E"/>
    <w:rsid w:val="0044673D"/>
    <w:rsid w:val="004469F9"/>
    <w:rsid w:val="004470C5"/>
    <w:rsid w:val="00447CB3"/>
    <w:rsid w:val="004515AC"/>
    <w:rsid w:val="00464116"/>
    <w:rsid w:val="00466765"/>
    <w:rsid w:val="00467724"/>
    <w:rsid w:val="004762F9"/>
    <w:rsid w:val="00477DCF"/>
    <w:rsid w:val="00481C18"/>
    <w:rsid w:val="00483DB7"/>
    <w:rsid w:val="004847C4"/>
    <w:rsid w:val="00495FE5"/>
    <w:rsid w:val="004978EA"/>
    <w:rsid w:val="004A2138"/>
    <w:rsid w:val="004A6FF9"/>
    <w:rsid w:val="004B212E"/>
    <w:rsid w:val="004B63A4"/>
    <w:rsid w:val="004C4B3E"/>
    <w:rsid w:val="004C6473"/>
    <w:rsid w:val="004D156B"/>
    <w:rsid w:val="004D2BCB"/>
    <w:rsid w:val="004D32A7"/>
    <w:rsid w:val="004D45AE"/>
    <w:rsid w:val="004D4C9A"/>
    <w:rsid w:val="004D6338"/>
    <w:rsid w:val="004D66DD"/>
    <w:rsid w:val="004E14DC"/>
    <w:rsid w:val="004E7506"/>
    <w:rsid w:val="004F7032"/>
    <w:rsid w:val="00500593"/>
    <w:rsid w:val="005051C4"/>
    <w:rsid w:val="00506B8B"/>
    <w:rsid w:val="00510E0C"/>
    <w:rsid w:val="00522CF7"/>
    <w:rsid w:val="00526AA9"/>
    <w:rsid w:val="00530DD4"/>
    <w:rsid w:val="005333D7"/>
    <w:rsid w:val="00534DD1"/>
    <w:rsid w:val="00536A48"/>
    <w:rsid w:val="00551948"/>
    <w:rsid w:val="00563F07"/>
    <w:rsid w:val="00570A07"/>
    <w:rsid w:val="00580BF3"/>
    <w:rsid w:val="0058774D"/>
    <w:rsid w:val="00592B52"/>
    <w:rsid w:val="00595492"/>
    <w:rsid w:val="005973E6"/>
    <w:rsid w:val="005A0104"/>
    <w:rsid w:val="005A1A50"/>
    <w:rsid w:val="005A43A3"/>
    <w:rsid w:val="005A5399"/>
    <w:rsid w:val="005A767B"/>
    <w:rsid w:val="005A7F81"/>
    <w:rsid w:val="005B46FA"/>
    <w:rsid w:val="005B67C3"/>
    <w:rsid w:val="005C1065"/>
    <w:rsid w:val="005C3200"/>
    <w:rsid w:val="005C5140"/>
    <w:rsid w:val="005D0D30"/>
    <w:rsid w:val="005D19CA"/>
    <w:rsid w:val="005D355D"/>
    <w:rsid w:val="005D3A61"/>
    <w:rsid w:val="005E1B65"/>
    <w:rsid w:val="005E2BC8"/>
    <w:rsid w:val="005E783A"/>
    <w:rsid w:val="005F3629"/>
    <w:rsid w:val="005F61D7"/>
    <w:rsid w:val="00606463"/>
    <w:rsid w:val="006123DE"/>
    <w:rsid w:val="00612BCE"/>
    <w:rsid w:val="006149BE"/>
    <w:rsid w:val="006228B9"/>
    <w:rsid w:val="006240A4"/>
    <w:rsid w:val="006241E3"/>
    <w:rsid w:val="00626F2E"/>
    <w:rsid w:val="0063280D"/>
    <w:rsid w:val="006330DB"/>
    <w:rsid w:val="0063387B"/>
    <w:rsid w:val="00637E74"/>
    <w:rsid w:val="00640038"/>
    <w:rsid w:val="00640EFD"/>
    <w:rsid w:val="0065002F"/>
    <w:rsid w:val="00657EEA"/>
    <w:rsid w:val="00661701"/>
    <w:rsid w:val="006636A5"/>
    <w:rsid w:val="00670022"/>
    <w:rsid w:val="0067235F"/>
    <w:rsid w:val="006723EF"/>
    <w:rsid w:val="00673A30"/>
    <w:rsid w:val="0067655D"/>
    <w:rsid w:val="00677009"/>
    <w:rsid w:val="006808E8"/>
    <w:rsid w:val="00681C66"/>
    <w:rsid w:val="00684B74"/>
    <w:rsid w:val="00690F0F"/>
    <w:rsid w:val="00691F96"/>
    <w:rsid w:val="0069540C"/>
    <w:rsid w:val="00696430"/>
    <w:rsid w:val="006A04E7"/>
    <w:rsid w:val="006A122A"/>
    <w:rsid w:val="006A687B"/>
    <w:rsid w:val="006A6CDB"/>
    <w:rsid w:val="006A7373"/>
    <w:rsid w:val="006B0352"/>
    <w:rsid w:val="006B0507"/>
    <w:rsid w:val="006C291B"/>
    <w:rsid w:val="006D006C"/>
    <w:rsid w:val="006D466E"/>
    <w:rsid w:val="006E65E5"/>
    <w:rsid w:val="00700553"/>
    <w:rsid w:val="0070074C"/>
    <w:rsid w:val="0070144E"/>
    <w:rsid w:val="007056A5"/>
    <w:rsid w:val="00710424"/>
    <w:rsid w:val="0071099C"/>
    <w:rsid w:val="00713552"/>
    <w:rsid w:val="0071535E"/>
    <w:rsid w:val="00717AE8"/>
    <w:rsid w:val="007270B4"/>
    <w:rsid w:val="00727509"/>
    <w:rsid w:val="00735C39"/>
    <w:rsid w:val="00736612"/>
    <w:rsid w:val="00736748"/>
    <w:rsid w:val="00736824"/>
    <w:rsid w:val="0074102A"/>
    <w:rsid w:val="00741151"/>
    <w:rsid w:val="007427E8"/>
    <w:rsid w:val="00750EED"/>
    <w:rsid w:val="007556AA"/>
    <w:rsid w:val="00764F41"/>
    <w:rsid w:val="007651AA"/>
    <w:rsid w:val="007668F3"/>
    <w:rsid w:val="0076698B"/>
    <w:rsid w:val="0077293D"/>
    <w:rsid w:val="00772B07"/>
    <w:rsid w:val="007738F6"/>
    <w:rsid w:val="00775B4E"/>
    <w:rsid w:val="0077642D"/>
    <w:rsid w:val="0077739E"/>
    <w:rsid w:val="007815E9"/>
    <w:rsid w:val="007A179E"/>
    <w:rsid w:val="007B5B65"/>
    <w:rsid w:val="007C2ABA"/>
    <w:rsid w:val="007D1A56"/>
    <w:rsid w:val="007D1E99"/>
    <w:rsid w:val="007D3D09"/>
    <w:rsid w:val="007D4FFC"/>
    <w:rsid w:val="007D58EA"/>
    <w:rsid w:val="007D65EF"/>
    <w:rsid w:val="007E0B5D"/>
    <w:rsid w:val="007E16FC"/>
    <w:rsid w:val="007F3470"/>
    <w:rsid w:val="0080436C"/>
    <w:rsid w:val="00804B70"/>
    <w:rsid w:val="00814BBF"/>
    <w:rsid w:val="008200B4"/>
    <w:rsid w:val="0082246E"/>
    <w:rsid w:val="00822E2A"/>
    <w:rsid w:val="00826F10"/>
    <w:rsid w:val="00831527"/>
    <w:rsid w:val="008324F4"/>
    <w:rsid w:val="0083295E"/>
    <w:rsid w:val="008344D9"/>
    <w:rsid w:val="0083769E"/>
    <w:rsid w:val="00841F72"/>
    <w:rsid w:val="00844E0F"/>
    <w:rsid w:val="00852320"/>
    <w:rsid w:val="00857272"/>
    <w:rsid w:val="008605D7"/>
    <w:rsid w:val="0086455D"/>
    <w:rsid w:val="00866FB2"/>
    <w:rsid w:val="008675BB"/>
    <w:rsid w:val="00867A7A"/>
    <w:rsid w:val="00874C48"/>
    <w:rsid w:val="008756F3"/>
    <w:rsid w:val="008839C9"/>
    <w:rsid w:val="0088419A"/>
    <w:rsid w:val="00892397"/>
    <w:rsid w:val="00893FFA"/>
    <w:rsid w:val="00895B2B"/>
    <w:rsid w:val="008A311C"/>
    <w:rsid w:val="008A3134"/>
    <w:rsid w:val="008A4600"/>
    <w:rsid w:val="008A6BC2"/>
    <w:rsid w:val="008B3763"/>
    <w:rsid w:val="008B46EC"/>
    <w:rsid w:val="008B5BFB"/>
    <w:rsid w:val="008C1D47"/>
    <w:rsid w:val="008C3DC3"/>
    <w:rsid w:val="008D498C"/>
    <w:rsid w:val="008E4979"/>
    <w:rsid w:val="008E7369"/>
    <w:rsid w:val="008F22B5"/>
    <w:rsid w:val="008F436F"/>
    <w:rsid w:val="00900F5C"/>
    <w:rsid w:val="00907559"/>
    <w:rsid w:val="009075D1"/>
    <w:rsid w:val="009146E4"/>
    <w:rsid w:val="00920D3A"/>
    <w:rsid w:val="00923580"/>
    <w:rsid w:val="00923BAE"/>
    <w:rsid w:val="00924E82"/>
    <w:rsid w:val="00925517"/>
    <w:rsid w:val="009307ED"/>
    <w:rsid w:val="00931C46"/>
    <w:rsid w:val="00932EF8"/>
    <w:rsid w:val="0093593D"/>
    <w:rsid w:val="00940C0A"/>
    <w:rsid w:val="00941689"/>
    <w:rsid w:val="009421AF"/>
    <w:rsid w:val="00945CE5"/>
    <w:rsid w:val="00947E33"/>
    <w:rsid w:val="00952F91"/>
    <w:rsid w:val="00955EDE"/>
    <w:rsid w:val="0095768B"/>
    <w:rsid w:val="0096068E"/>
    <w:rsid w:val="00963A2F"/>
    <w:rsid w:val="009669BE"/>
    <w:rsid w:val="00967E42"/>
    <w:rsid w:val="00970B0A"/>
    <w:rsid w:val="00981F79"/>
    <w:rsid w:val="009823F5"/>
    <w:rsid w:val="00982842"/>
    <w:rsid w:val="00983A81"/>
    <w:rsid w:val="0098604A"/>
    <w:rsid w:val="00992361"/>
    <w:rsid w:val="009A1073"/>
    <w:rsid w:val="009A3E4B"/>
    <w:rsid w:val="009A45CC"/>
    <w:rsid w:val="009B5A24"/>
    <w:rsid w:val="009C0C0E"/>
    <w:rsid w:val="009C2ED3"/>
    <w:rsid w:val="009C3904"/>
    <w:rsid w:val="009C4D35"/>
    <w:rsid w:val="009D1B31"/>
    <w:rsid w:val="009D2449"/>
    <w:rsid w:val="009D2903"/>
    <w:rsid w:val="009D365B"/>
    <w:rsid w:val="009D535C"/>
    <w:rsid w:val="009D5649"/>
    <w:rsid w:val="009D7768"/>
    <w:rsid w:val="009D7C7C"/>
    <w:rsid w:val="009E1C3C"/>
    <w:rsid w:val="009F16CE"/>
    <w:rsid w:val="009F66C0"/>
    <w:rsid w:val="00A00F3E"/>
    <w:rsid w:val="00A05E18"/>
    <w:rsid w:val="00A13A43"/>
    <w:rsid w:val="00A15062"/>
    <w:rsid w:val="00A15254"/>
    <w:rsid w:val="00A171EB"/>
    <w:rsid w:val="00A17B5A"/>
    <w:rsid w:val="00A245E4"/>
    <w:rsid w:val="00A309CF"/>
    <w:rsid w:val="00A30A33"/>
    <w:rsid w:val="00A4296C"/>
    <w:rsid w:val="00A46457"/>
    <w:rsid w:val="00A50675"/>
    <w:rsid w:val="00A51430"/>
    <w:rsid w:val="00A52478"/>
    <w:rsid w:val="00A52B77"/>
    <w:rsid w:val="00A533EA"/>
    <w:rsid w:val="00A53780"/>
    <w:rsid w:val="00A55865"/>
    <w:rsid w:val="00A57BD2"/>
    <w:rsid w:val="00A6023B"/>
    <w:rsid w:val="00A60BCD"/>
    <w:rsid w:val="00A60E9F"/>
    <w:rsid w:val="00A617BB"/>
    <w:rsid w:val="00A61EC8"/>
    <w:rsid w:val="00A66491"/>
    <w:rsid w:val="00A67EC3"/>
    <w:rsid w:val="00A815E5"/>
    <w:rsid w:val="00A97B1A"/>
    <w:rsid w:val="00AA1ACA"/>
    <w:rsid w:val="00AA1BB4"/>
    <w:rsid w:val="00AA237C"/>
    <w:rsid w:val="00AA62FC"/>
    <w:rsid w:val="00AB08E9"/>
    <w:rsid w:val="00AB0A57"/>
    <w:rsid w:val="00AB2DF9"/>
    <w:rsid w:val="00AB3B30"/>
    <w:rsid w:val="00AB42B8"/>
    <w:rsid w:val="00AC0191"/>
    <w:rsid w:val="00AC5F33"/>
    <w:rsid w:val="00AC68F0"/>
    <w:rsid w:val="00AD139A"/>
    <w:rsid w:val="00AD302A"/>
    <w:rsid w:val="00AD3D97"/>
    <w:rsid w:val="00AD4DA1"/>
    <w:rsid w:val="00AD6112"/>
    <w:rsid w:val="00AE473E"/>
    <w:rsid w:val="00AE7C44"/>
    <w:rsid w:val="00AF1834"/>
    <w:rsid w:val="00AF1988"/>
    <w:rsid w:val="00AF68B8"/>
    <w:rsid w:val="00AF6C43"/>
    <w:rsid w:val="00AF7C46"/>
    <w:rsid w:val="00B014F1"/>
    <w:rsid w:val="00B073E3"/>
    <w:rsid w:val="00B12988"/>
    <w:rsid w:val="00B15107"/>
    <w:rsid w:val="00B209C6"/>
    <w:rsid w:val="00B213A6"/>
    <w:rsid w:val="00B250D7"/>
    <w:rsid w:val="00B25B4D"/>
    <w:rsid w:val="00B276EF"/>
    <w:rsid w:val="00B317A4"/>
    <w:rsid w:val="00B34BB6"/>
    <w:rsid w:val="00B37A5F"/>
    <w:rsid w:val="00B42531"/>
    <w:rsid w:val="00B42954"/>
    <w:rsid w:val="00B456D7"/>
    <w:rsid w:val="00B4751B"/>
    <w:rsid w:val="00B60C0D"/>
    <w:rsid w:val="00B622A6"/>
    <w:rsid w:val="00B64BBE"/>
    <w:rsid w:val="00B664E6"/>
    <w:rsid w:val="00B707FC"/>
    <w:rsid w:val="00B710E4"/>
    <w:rsid w:val="00B73C52"/>
    <w:rsid w:val="00B7613C"/>
    <w:rsid w:val="00B80BEE"/>
    <w:rsid w:val="00B81E8E"/>
    <w:rsid w:val="00B82F4A"/>
    <w:rsid w:val="00B84589"/>
    <w:rsid w:val="00B87FCB"/>
    <w:rsid w:val="00B93FD1"/>
    <w:rsid w:val="00B963A2"/>
    <w:rsid w:val="00BA1139"/>
    <w:rsid w:val="00BA550A"/>
    <w:rsid w:val="00BA563B"/>
    <w:rsid w:val="00BA6E01"/>
    <w:rsid w:val="00BB0CD4"/>
    <w:rsid w:val="00BB2245"/>
    <w:rsid w:val="00BB2430"/>
    <w:rsid w:val="00BB72F6"/>
    <w:rsid w:val="00BC1AB0"/>
    <w:rsid w:val="00BC1F85"/>
    <w:rsid w:val="00BC5BA5"/>
    <w:rsid w:val="00BD5D2A"/>
    <w:rsid w:val="00BD617B"/>
    <w:rsid w:val="00BE5DD9"/>
    <w:rsid w:val="00BF7DF8"/>
    <w:rsid w:val="00C0109C"/>
    <w:rsid w:val="00C04948"/>
    <w:rsid w:val="00C13A63"/>
    <w:rsid w:val="00C16A44"/>
    <w:rsid w:val="00C21A3E"/>
    <w:rsid w:val="00C22F56"/>
    <w:rsid w:val="00C23218"/>
    <w:rsid w:val="00C23739"/>
    <w:rsid w:val="00C2378C"/>
    <w:rsid w:val="00C23D10"/>
    <w:rsid w:val="00C245F3"/>
    <w:rsid w:val="00C2467F"/>
    <w:rsid w:val="00C2615F"/>
    <w:rsid w:val="00C27F5B"/>
    <w:rsid w:val="00C32F70"/>
    <w:rsid w:val="00C43EA4"/>
    <w:rsid w:val="00C466FB"/>
    <w:rsid w:val="00C505DE"/>
    <w:rsid w:val="00C50D56"/>
    <w:rsid w:val="00C52237"/>
    <w:rsid w:val="00C6418D"/>
    <w:rsid w:val="00C67CA1"/>
    <w:rsid w:val="00C8198A"/>
    <w:rsid w:val="00C83DFD"/>
    <w:rsid w:val="00C83FBE"/>
    <w:rsid w:val="00C86461"/>
    <w:rsid w:val="00C864F4"/>
    <w:rsid w:val="00C92B46"/>
    <w:rsid w:val="00C94178"/>
    <w:rsid w:val="00C97E1E"/>
    <w:rsid w:val="00CA0087"/>
    <w:rsid w:val="00CA447C"/>
    <w:rsid w:val="00CB5105"/>
    <w:rsid w:val="00CB5243"/>
    <w:rsid w:val="00CB5DA8"/>
    <w:rsid w:val="00CB64D9"/>
    <w:rsid w:val="00CD420C"/>
    <w:rsid w:val="00CD51CC"/>
    <w:rsid w:val="00CD7E1D"/>
    <w:rsid w:val="00CE2E77"/>
    <w:rsid w:val="00CE4825"/>
    <w:rsid w:val="00CE5594"/>
    <w:rsid w:val="00CE6DCF"/>
    <w:rsid w:val="00CF0FDD"/>
    <w:rsid w:val="00D05D18"/>
    <w:rsid w:val="00D2296F"/>
    <w:rsid w:val="00D34519"/>
    <w:rsid w:val="00D35769"/>
    <w:rsid w:val="00D361B3"/>
    <w:rsid w:val="00D41502"/>
    <w:rsid w:val="00D43510"/>
    <w:rsid w:val="00D61151"/>
    <w:rsid w:val="00D6203A"/>
    <w:rsid w:val="00D62C44"/>
    <w:rsid w:val="00D65D7D"/>
    <w:rsid w:val="00D67E36"/>
    <w:rsid w:val="00D75BF1"/>
    <w:rsid w:val="00D771F2"/>
    <w:rsid w:val="00D82C0A"/>
    <w:rsid w:val="00D86296"/>
    <w:rsid w:val="00D9129A"/>
    <w:rsid w:val="00D91433"/>
    <w:rsid w:val="00D91B99"/>
    <w:rsid w:val="00D961A1"/>
    <w:rsid w:val="00DA0272"/>
    <w:rsid w:val="00DA04E9"/>
    <w:rsid w:val="00DA075A"/>
    <w:rsid w:val="00DA48E6"/>
    <w:rsid w:val="00DA4AC3"/>
    <w:rsid w:val="00DA720C"/>
    <w:rsid w:val="00DA7380"/>
    <w:rsid w:val="00DB16F6"/>
    <w:rsid w:val="00DB18FD"/>
    <w:rsid w:val="00DB2EB6"/>
    <w:rsid w:val="00DB3575"/>
    <w:rsid w:val="00DB3631"/>
    <w:rsid w:val="00DB5131"/>
    <w:rsid w:val="00DB539A"/>
    <w:rsid w:val="00DC3DEF"/>
    <w:rsid w:val="00DD4B79"/>
    <w:rsid w:val="00DE1392"/>
    <w:rsid w:val="00DE20E9"/>
    <w:rsid w:val="00DE249C"/>
    <w:rsid w:val="00DE6BED"/>
    <w:rsid w:val="00DF429D"/>
    <w:rsid w:val="00E0404F"/>
    <w:rsid w:val="00E04EC9"/>
    <w:rsid w:val="00E054F4"/>
    <w:rsid w:val="00E104A2"/>
    <w:rsid w:val="00E15ACE"/>
    <w:rsid w:val="00E17D3C"/>
    <w:rsid w:val="00E2384B"/>
    <w:rsid w:val="00E27EA7"/>
    <w:rsid w:val="00E300C0"/>
    <w:rsid w:val="00E4018B"/>
    <w:rsid w:val="00E423A7"/>
    <w:rsid w:val="00E43E49"/>
    <w:rsid w:val="00E460A2"/>
    <w:rsid w:val="00E5161E"/>
    <w:rsid w:val="00E565A3"/>
    <w:rsid w:val="00E57F98"/>
    <w:rsid w:val="00E61782"/>
    <w:rsid w:val="00E63F22"/>
    <w:rsid w:val="00E74726"/>
    <w:rsid w:val="00E751C3"/>
    <w:rsid w:val="00E76FAE"/>
    <w:rsid w:val="00E77F83"/>
    <w:rsid w:val="00E81C39"/>
    <w:rsid w:val="00E9725F"/>
    <w:rsid w:val="00EB3F73"/>
    <w:rsid w:val="00EB6887"/>
    <w:rsid w:val="00EC072E"/>
    <w:rsid w:val="00EC1337"/>
    <w:rsid w:val="00EC1D1E"/>
    <w:rsid w:val="00EC3647"/>
    <w:rsid w:val="00EC4692"/>
    <w:rsid w:val="00ED18FA"/>
    <w:rsid w:val="00ED5C0B"/>
    <w:rsid w:val="00EF0326"/>
    <w:rsid w:val="00EF429B"/>
    <w:rsid w:val="00EF498B"/>
    <w:rsid w:val="00EF5C20"/>
    <w:rsid w:val="00EF6547"/>
    <w:rsid w:val="00F028BC"/>
    <w:rsid w:val="00F02EA3"/>
    <w:rsid w:val="00F14C6A"/>
    <w:rsid w:val="00F157D3"/>
    <w:rsid w:val="00F243DC"/>
    <w:rsid w:val="00F31373"/>
    <w:rsid w:val="00F31712"/>
    <w:rsid w:val="00F33FC5"/>
    <w:rsid w:val="00F35C43"/>
    <w:rsid w:val="00F36FE6"/>
    <w:rsid w:val="00F37E8B"/>
    <w:rsid w:val="00F52BB9"/>
    <w:rsid w:val="00F54CB1"/>
    <w:rsid w:val="00F60FE6"/>
    <w:rsid w:val="00F61B48"/>
    <w:rsid w:val="00F73F90"/>
    <w:rsid w:val="00F77B19"/>
    <w:rsid w:val="00F77D51"/>
    <w:rsid w:val="00F80CE2"/>
    <w:rsid w:val="00F83529"/>
    <w:rsid w:val="00F84FF2"/>
    <w:rsid w:val="00F90563"/>
    <w:rsid w:val="00F918BF"/>
    <w:rsid w:val="00F974C9"/>
    <w:rsid w:val="00FA2C11"/>
    <w:rsid w:val="00FA40CE"/>
    <w:rsid w:val="00FA47AF"/>
    <w:rsid w:val="00FA6CA1"/>
    <w:rsid w:val="00FB068D"/>
    <w:rsid w:val="00FB1E51"/>
    <w:rsid w:val="00FB3AF7"/>
    <w:rsid w:val="00FB657A"/>
    <w:rsid w:val="00FB6AC0"/>
    <w:rsid w:val="00FC0563"/>
    <w:rsid w:val="00FC1D15"/>
    <w:rsid w:val="00FC38FD"/>
    <w:rsid w:val="00FD4E10"/>
    <w:rsid w:val="00FD5AE4"/>
    <w:rsid w:val="00FD7D9C"/>
    <w:rsid w:val="00FF0D05"/>
    <w:rsid w:val="00FF1E79"/>
    <w:rsid w:val="00FF2815"/>
    <w:rsid w:val="00FF66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D033"/>
  <w15:docId w15:val="{359244DF-C660-48BF-BFD1-4A97EC92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09B6"/>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paragraph" w:styleId="Koptekst">
    <w:name w:val="header"/>
    <w:basedOn w:val="Standaard"/>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uiPriority w:val="99"/>
    <w:rsid w:val="003A4AD2"/>
  </w:style>
  <w:style w:type="paragraph" w:customStyle="1" w:styleId="Notitiekop1">
    <w:name w:val="Notitiekop1"/>
    <w:basedOn w:val="Standaard"/>
    <w:next w:val="Standaard"/>
    <w:rsid w:val="003A4AD2"/>
  </w:style>
  <w:style w:type="character" w:styleId="Paginanummer">
    <w:name w:val="page number"/>
    <w:basedOn w:val="Standaardalinea-lettertype"/>
    <w:uiPriority w:val="99"/>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elraster">
    <w:name w:val="Table Grid"/>
    <w:basedOn w:val="Standaardtabel"/>
    <w:rsid w:val="00302B71"/>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paragraph" w:styleId="Voettekst">
    <w:name w:val="footer"/>
    <w:basedOn w:val="Standaard"/>
    <w:link w:val="VoettekstChar"/>
    <w:uiPriority w:val="99"/>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3"/>
      </w:numPr>
    </w:pPr>
    <w:rPr>
      <w:rFonts w:ascii="Futura Book" w:hAnsi="Futura Book"/>
      <w:noProof/>
      <w:szCs w:val="24"/>
      <w:lang w:val="fr-FR"/>
    </w:rPr>
  </w:style>
  <w:style w:type="paragraph" w:styleId="Lijstalinea">
    <w:name w:val="List Paragraph"/>
    <w:basedOn w:val="Standaard"/>
    <w:uiPriority w:val="34"/>
    <w:qFormat/>
    <w:rsid w:val="001B515E"/>
    <w:pPr>
      <w:ind w:left="720"/>
      <w:contextualSpacing/>
    </w:pPr>
  </w:style>
  <w:style w:type="numbering" w:customStyle="1" w:styleId="PNBopsomlijst">
    <w:name w:val="PNB opsomlijst"/>
    <w:uiPriority w:val="99"/>
    <w:rsid w:val="0072066C"/>
    <w:pPr>
      <w:numPr>
        <w:numId w:val="13"/>
      </w:numPr>
    </w:pPr>
  </w:style>
  <w:style w:type="paragraph" w:customStyle="1" w:styleId="PNBabc-lijst">
    <w:name w:val="PNB abc-lijst"/>
    <w:basedOn w:val="Standaard"/>
    <w:qFormat/>
    <w:rsid w:val="0072066C"/>
    <w:pPr>
      <w:numPr>
        <w:numId w:val="15"/>
      </w:numPr>
    </w:pPr>
    <w:rPr>
      <w:noProof/>
      <w:lang w:val="fr-FR"/>
    </w:rPr>
  </w:style>
  <w:style w:type="numbering" w:customStyle="1" w:styleId="PNBabclijst">
    <w:name w:val="PNB abc lijst"/>
    <w:uiPriority w:val="99"/>
    <w:rsid w:val="0072066C"/>
    <w:pPr>
      <w:numPr>
        <w:numId w:val="14"/>
      </w:numPr>
    </w:pPr>
  </w:style>
  <w:style w:type="numbering" w:customStyle="1" w:styleId="PNB123-lijst">
    <w:name w:val="PNB 123-lijst"/>
    <w:uiPriority w:val="99"/>
    <w:rsid w:val="002719F8"/>
    <w:pPr>
      <w:numPr>
        <w:numId w:val="16"/>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17"/>
      </w:numPr>
    </w:pPr>
  </w:style>
  <w:style w:type="character" w:customStyle="1" w:styleId="VoettekstChar">
    <w:name w:val="Voettekst Char"/>
    <w:basedOn w:val="Standaardalinea-lettertype"/>
    <w:link w:val="Voettekst"/>
    <w:uiPriority w:val="99"/>
    <w:rsid w:val="00437991"/>
    <w:rPr>
      <w:rFonts w:ascii="Futura Book" w:hAnsi="Futura Book"/>
      <w:sz w:val="14"/>
      <w:szCs w:val="16"/>
    </w:rPr>
  </w:style>
  <w:style w:type="paragraph" w:customStyle="1" w:styleId="Adressering">
    <w:name w:val="Adressering"/>
    <w:basedOn w:val="Standaard"/>
    <w:rsid w:val="00627F41"/>
    <w:rPr>
      <w:szCs w:val="20"/>
    </w:rPr>
  </w:style>
  <w:style w:type="paragraph" w:customStyle="1" w:styleId="referentiekop">
    <w:name w:val="referentiekop"/>
    <w:basedOn w:val="Kop1"/>
    <w:rsid w:val="00627F41"/>
    <w:rPr>
      <w:rFonts w:cs="Times New Roman"/>
      <w:bCs w:val="0"/>
      <w:kern w:val="0"/>
      <w:sz w:val="14"/>
      <w:szCs w:val="20"/>
    </w:rPr>
  </w:style>
  <w:style w:type="paragraph" w:customStyle="1" w:styleId="PNB">
    <w:name w:val="PNB"/>
    <w:basedOn w:val="Standaard"/>
    <w:rsid w:val="00627F41"/>
    <w:rPr>
      <w:sz w:val="16"/>
      <w:szCs w:val="20"/>
    </w:rPr>
  </w:style>
  <w:style w:type="paragraph" w:customStyle="1" w:styleId="Default">
    <w:name w:val="Default"/>
    <w:rsid w:val="007D58EA"/>
    <w:pPr>
      <w:autoSpaceDE w:val="0"/>
      <w:autoSpaceDN w:val="0"/>
      <w:adjustRightInd w:val="0"/>
    </w:pPr>
    <w:rPr>
      <w:rFonts w:ascii="Futura Book" w:hAnsi="Futura Book" w:cs="Futura Book"/>
      <w:color w:val="000000"/>
      <w:sz w:val="24"/>
      <w:szCs w:val="24"/>
    </w:rPr>
  </w:style>
  <w:style w:type="paragraph" w:customStyle="1" w:styleId="lid">
    <w:name w:val="lid"/>
    <w:basedOn w:val="Standaard"/>
    <w:rsid w:val="004469F9"/>
    <w:pPr>
      <w:spacing w:before="100" w:beforeAutospacing="1" w:after="100" w:afterAutospacing="1" w:line="240" w:lineRule="auto"/>
    </w:pPr>
    <w:rPr>
      <w:rFonts w:ascii="Times New Roman" w:hAnsi="Times New Roman"/>
      <w:sz w:val="24"/>
    </w:rPr>
  </w:style>
  <w:style w:type="paragraph" w:customStyle="1" w:styleId="labeled">
    <w:name w:val="labeled"/>
    <w:basedOn w:val="Standaard"/>
    <w:rsid w:val="004469F9"/>
    <w:pPr>
      <w:spacing w:before="100" w:beforeAutospacing="1" w:after="100" w:afterAutospacing="1" w:line="240" w:lineRule="auto"/>
    </w:pPr>
    <w:rPr>
      <w:rFonts w:ascii="Times New Roman" w:hAnsi="Times New Roman"/>
      <w:sz w:val="24"/>
    </w:rPr>
  </w:style>
  <w:style w:type="character" w:customStyle="1" w:styleId="ol">
    <w:name w:val="ol"/>
    <w:basedOn w:val="Standaardalinea-lettertype"/>
    <w:rsid w:val="004469F9"/>
  </w:style>
  <w:style w:type="character" w:customStyle="1" w:styleId="lidnr">
    <w:name w:val="lidnr"/>
    <w:basedOn w:val="Standaardalinea-lettertype"/>
    <w:rsid w:val="004469F9"/>
  </w:style>
  <w:style w:type="character" w:styleId="Onopgelostemelding">
    <w:name w:val="Unresolved Mention"/>
    <w:basedOn w:val="Standaardalinea-lettertype"/>
    <w:uiPriority w:val="99"/>
    <w:semiHidden/>
    <w:unhideWhenUsed/>
    <w:rsid w:val="009D2449"/>
    <w:rPr>
      <w:color w:val="605E5C"/>
      <w:shd w:val="clear" w:color="auto" w:fill="E1DFDD"/>
    </w:rPr>
  </w:style>
  <w:style w:type="paragraph" w:styleId="Tekstopmerking">
    <w:name w:val="annotation text"/>
    <w:basedOn w:val="Standaard"/>
    <w:link w:val="TekstopmerkingChar"/>
    <w:uiPriority w:val="99"/>
    <w:unhideWhenUsed/>
    <w:rsid w:val="00440A5F"/>
    <w:pPr>
      <w:spacing w:line="240" w:lineRule="auto"/>
    </w:pPr>
    <w:rPr>
      <w:szCs w:val="20"/>
    </w:rPr>
  </w:style>
  <w:style w:type="character" w:customStyle="1" w:styleId="TekstopmerkingChar">
    <w:name w:val="Tekst opmerking Char"/>
    <w:basedOn w:val="Standaardalinea-lettertype"/>
    <w:link w:val="Tekstopmerking"/>
    <w:uiPriority w:val="99"/>
    <w:rsid w:val="00440A5F"/>
    <w:rPr>
      <w:rFonts w:ascii="Futura Book" w:hAnsi="Futura Book"/>
    </w:rPr>
  </w:style>
  <w:style w:type="paragraph" w:styleId="Geenafstand">
    <w:name w:val="No Spacing"/>
    <w:uiPriority w:val="1"/>
    <w:qFormat/>
    <w:rsid w:val="004E7506"/>
    <w:rPr>
      <w:rFonts w:asciiTheme="minorHAnsi" w:eastAsiaTheme="minorHAnsi" w:hAnsiTheme="minorHAnsi" w:cstheme="minorBidi"/>
      <w:kern w:val="2"/>
      <w:sz w:val="22"/>
      <w:szCs w:val="22"/>
      <w:lang w:eastAsia="en-US"/>
      <w14:ligatures w14:val="standardContextual"/>
    </w:rPr>
  </w:style>
  <w:style w:type="paragraph" w:customStyle="1" w:styleId="paragraph">
    <w:name w:val="paragraph"/>
    <w:basedOn w:val="Standaard"/>
    <w:rsid w:val="004E7506"/>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4E7506"/>
  </w:style>
  <w:style w:type="character" w:customStyle="1" w:styleId="apple-converted-space">
    <w:name w:val="apple-converted-space"/>
    <w:basedOn w:val="Standaardalinea-lettertype"/>
    <w:rsid w:val="004E7506"/>
  </w:style>
  <w:style w:type="paragraph" w:customStyle="1" w:styleId="90Plattetekst">
    <w:name w:val="90 Platte tekst"/>
    <w:basedOn w:val="Standaard"/>
    <w:qFormat/>
    <w:rsid w:val="00AF7C46"/>
    <w:pPr>
      <w:spacing w:line="276" w:lineRule="auto"/>
    </w:pPr>
    <w:rPr>
      <w:rFonts w:eastAsia="Futura Book" w:cs="Futura Book"/>
      <w:kern w:val="2"/>
      <w:sz w:val="22"/>
      <w:szCs w:val="20"/>
      <w14:ligatures w14:val="standardContextual"/>
    </w:rPr>
  </w:style>
  <w:style w:type="character" w:styleId="Verwijzingopmerking">
    <w:name w:val="annotation reference"/>
    <w:basedOn w:val="Standaardalinea-lettertype"/>
    <w:uiPriority w:val="99"/>
    <w:semiHidden/>
    <w:unhideWhenUsed/>
    <w:rsid w:val="002B7200"/>
    <w:rPr>
      <w:sz w:val="16"/>
      <w:szCs w:val="16"/>
    </w:rPr>
  </w:style>
  <w:style w:type="paragraph" w:styleId="Onderwerpvanopmerking">
    <w:name w:val="annotation subject"/>
    <w:basedOn w:val="Tekstopmerking"/>
    <w:next w:val="Tekstopmerking"/>
    <w:link w:val="OnderwerpvanopmerkingChar"/>
    <w:uiPriority w:val="99"/>
    <w:semiHidden/>
    <w:unhideWhenUsed/>
    <w:rsid w:val="002B7200"/>
    <w:rPr>
      <w:b/>
      <w:bCs/>
    </w:rPr>
  </w:style>
  <w:style w:type="character" w:customStyle="1" w:styleId="OnderwerpvanopmerkingChar">
    <w:name w:val="Onderwerp van opmerking Char"/>
    <w:basedOn w:val="TekstopmerkingChar"/>
    <w:link w:val="Onderwerpvanopmerking"/>
    <w:uiPriority w:val="99"/>
    <w:semiHidden/>
    <w:rsid w:val="002B7200"/>
    <w:rPr>
      <w:rFonts w:ascii="Futura Book" w:hAnsi="Futura Boo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922988">
      <w:bodyDiv w:val="1"/>
      <w:marLeft w:val="0"/>
      <w:marRight w:val="0"/>
      <w:marTop w:val="0"/>
      <w:marBottom w:val="0"/>
      <w:divBdr>
        <w:top w:val="none" w:sz="0" w:space="0" w:color="auto"/>
        <w:left w:val="none" w:sz="0" w:space="0" w:color="auto"/>
        <w:bottom w:val="none" w:sz="0" w:space="0" w:color="auto"/>
        <w:right w:val="none" w:sz="0" w:space="0" w:color="auto"/>
      </w:divBdr>
    </w:div>
    <w:div w:id="794838188">
      <w:bodyDiv w:val="1"/>
      <w:marLeft w:val="0"/>
      <w:marRight w:val="0"/>
      <w:marTop w:val="0"/>
      <w:marBottom w:val="0"/>
      <w:divBdr>
        <w:top w:val="none" w:sz="0" w:space="0" w:color="auto"/>
        <w:left w:val="none" w:sz="0" w:space="0" w:color="auto"/>
        <w:bottom w:val="none" w:sz="0" w:space="0" w:color="auto"/>
        <w:right w:val="none" w:sz="0" w:space="0" w:color="auto"/>
      </w:divBdr>
    </w:div>
    <w:div w:id="196661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A4B30E22F56B42ADC5DA87D303DB71" ma:contentTypeVersion="12" ma:contentTypeDescription="Een nieuw document maken." ma:contentTypeScope="" ma:versionID="aa10a9f86389753adda62d55f5495ddf">
  <xsd:schema xmlns:xsd="http://www.w3.org/2001/XMLSchema" xmlns:xs="http://www.w3.org/2001/XMLSchema" xmlns:p="http://schemas.microsoft.com/office/2006/metadata/properties" xmlns:ns2="5288586c-267a-4870-b408-c1bbf12921b4" xmlns:ns3="0f6176e9-61ae-40ae-81c4-2427293471de" targetNamespace="http://schemas.microsoft.com/office/2006/metadata/properties" ma:root="true" ma:fieldsID="1b58b84305f52853c02e4e292bf99e5c" ns2:_="" ns3:_="">
    <xsd:import namespace="5288586c-267a-4870-b408-c1bbf12921b4"/>
    <xsd:import namespace="0f6176e9-61ae-40ae-81c4-2427293471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8586c-267a-4870-b408-c1bbf1292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6176e9-61ae-40ae-81c4-2427293471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2cca20-cf77-4199-b669-c9979ad4f406}" ma:internalName="TaxCatchAll" ma:showField="CatchAllData" ma:web="0f6176e9-61ae-40ae-81c4-242729347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f6176e9-61ae-40ae-81c4-2427293471de" xsi:nil="true"/>
    <lcf76f155ced4ddcb4097134ff3c332f xmlns="5288586c-267a-4870-b408-c1bbf12921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07CBFF-0E85-4E3B-8E8C-912C4C22C24F}">
  <ds:schemaRefs>
    <ds:schemaRef ds:uri="http://schemas.microsoft.com/sharepoint/v3/contenttype/forms"/>
  </ds:schemaRefs>
</ds:datastoreItem>
</file>

<file path=customXml/itemProps2.xml><?xml version="1.0" encoding="utf-8"?>
<ds:datastoreItem xmlns:ds="http://schemas.openxmlformats.org/officeDocument/2006/customXml" ds:itemID="{E1170DBB-991C-4A82-AEDD-3A6D151F3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8586c-267a-4870-b408-c1bbf12921b4"/>
    <ds:schemaRef ds:uri="0f6176e9-61ae-40ae-81c4-242729347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78C13-2BF9-46CE-907A-528CDB8E1D71}">
  <ds:schemaRefs>
    <ds:schemaRef ds:uri="http://schemas.openxmlformats.org/officeDocument/2006/bibliography"/>
  </ds:schemaRefs>
</ds:datastoreItem>
</file>

<file path=customXml/itemProps4.xml><?xml version="1.0" encoding="utf-8"?>
<ds:datastoreItem xmlns:ds="http://schemas.openxmlformats.org/officeDocument/2006/customXml" ds:itemID="{959C1692-8BB0-4705-A9FD-BCE002FB82B0}">
  <ds:schemaRefs>
    <ds:schemaRef ds:uri="http://schemas.microsoft.com/office/2006/metadata/properties"/>
    <ds:schemaRef ds:uri="http://schemas.microsoft.com/office/infopath/2007/PartnerControls"/>
    <ds:schemaRef ds:uri="0f6176e9-61ae-40ae-81c4-2427293471de"/>
    <ds:schemaRef ds:uri="5288586c-267a-4870-b408-c1bbf12921b4"/>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1499</Words>
  <Characters>8248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 Frank van</dc:creator>
  <cp:lastModifiedBy>Frank van Dam</cp:lastModifiedBy>
  <cp:revision>6</cp:revision>
  <cp:lastPrinted>2025-03-27T10:48:00Z</cp:lastPrinted>
  <dcterms:created xsi:type="dcterms:W3CDTF">2026-07-14T12:11:00Z</dcterms:created>
  <dcterms:modified xsi:type="dcterms:W3CDTF">2026-07-20T09:48:00Z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0x01010061A4B30E22F56B42ADC5DA87D303DB71</vt:lpwstr>
  </property>
  <property fmtid="{D5CDD505-2E9C-101B-9397-08002B2CF9AE}" pid="3" name="Order">
    <vt:r8>100</vt:r8>
  </property>
  <property fmtid="{D5CDD505-2E9C-101B-9397-08002B2CF9AE}" pid="4" name="MSIP_Label_b8665262-5df6-455e-bf48-5928a5d868f6_Enabled">
    <vt:lpwstr>True</vt:lpwstr>
  </property>
  <property fmtid="{D5CDD505-2E9C-101B-9397-08002B2CF9AE}" pid="5" name="MSIP_Label_b8665262-5df6-455e-bf48-5928a5d868f6_SiteId">
    <vt:lpwstr>d2aff5f9-8c21-47f2-88f3-08ac4fda56f5</vt:lpwstr>
  </property>
  <property fmtid="{D5CDD505-2E9C-101B-9397-08002B2CF9AE}" pid="6" name="MSIP_Label_b8665262-5df6-455e-bf48-5928a5d868f6_SetDate">
    <vt:lpwstr>2024-07-10T10:37:50Z</vt:lpwstr>
  </property>
  <property fmtid="{D5CDD505-2E9C-101B-9397-08002B2CF9AE}" pid="7" name="MSIP_Label_b8665262-5df6-455e-bf48-5928a5d868f6_Name">
    <vt:lpwstr>Vertrouwelijk</vt:lpwstr>
  </property>
  <property fmtid="{D5CDD505-2E9C-101B-9397-08002B2CF9AE}" pid="8" name="MSIP_Label_b8665262-5df6-455e-bf48-5928a5d868f6_ActionId">
    <vt:lpwstr>e2d1c7cc-936f-410e-9337-5c5084dce848</vt:lpwstr>
  </property>
  <property fmtid="{D5CDD505-2E9C-101B-9397-08002B2CF9AE}" pid="9" name="MSIP_Label_b8665262-5df6-455e-bf48-5928a5d868f6_Removed">
    <vt:lpwstr>False</vt:lpwstr>
  </property>
  <property fmtid="{D5CDD505-2E9C-101B-9397-08002B2CF9AE}" pid="10" name="MSIP_Label_b8665262-5df6-455e-bf48-5928a5d868f6_Extended_MSFT_Method">
    <vt:lpwstr>Standard</vt:lpwstr>
  </property>
  <property fmtid="{D5CDD505-2E9C-101B-9397-08002B2CF9AE}" pid="11" name="Sensitivity">
    <vt:lpwstr>Vertrouwelijk</vt:lpwstr>
  </property>
  <property fmtid="{D5CDD505-2E9C-101B-9397-08002B2CF9AE}" pid="12" name="MediaServiceImageTags">
    <vt:lpwstr/>
  </property>
  <property fmtid="{D5CDD505-2E9C-101B-9397-08002B2CF9AE}" pid="13" name="CORSA_GUID">
    <vt:lpwstr>cb082a00-296c-7894-db14-8911d0699ac9</vt:lpwstr>
  </property>
  <property fmtid="{D5CDD505-2E9C-101B-9397-08002B2CF9AE}" pid="14" name="CORSA_OBJECTTYPE">
    <vt:lpwstr>S</vt:lpwstr>
  </property>
  <property fmtid="{D5CDD505-2E9C-101B-9397-08002B2CF9AE}" pid="15" name="CORSA_OBJECTID">
    <vt:lpwstr>6141343</vt:lpwstr>
  </property>
  <property fmtid="{D5CDD505-2E9C-101B-9397-08002B2CF9AE}" pid="16" name="CORSA_VERSION">
    <vt:lpwstr>2</vt:lpwstr>
  </property>
</Properties>
</file>